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17C8" w14:textId="77777777" w:rsidR="008453D6" w:rsidRDefault="008453D6" w:rsidP="008453D6">
      <w:pPr>
        <w:spacing w:line="240" w:lineRule="auto"/>
        <w:jc w:val="center"/>
      </w:pPr>
      <w:bookmarkStart w:id="0" w:name="_Hlk479665768"/>
      <w:bookmarkEnd w:id="0"/>
    </w:p>
    <w:p w14:paraId="3861E5E6" w14:textId="77777777" w:rsidR="0087560D" w:rsidRPr="00176DFF" w:rsidRDefault="0087560D" w:rsidP="00FB1BB7">
      <w:pPr>
        <w:spacing w:line="240" w:lineRule="auto"/>
        <w:rPr>
          <w:b/>
          <w:sz w:val="36"/>
        </w:rPr>
      </w:pPr>
    </w:p>
    <w:p w14:paraId="1EBD85C5" w14:textId="29FD6704" w:rsidR="00FB1BB7" w:rsidRDefault="00FB1BB7" w:rsidP="00FB1BB7">
      <w:pPr>
        <w:spacing w:line="240" w:lineRule="auto"/>
        <w:rPr>
          <w:b/>
          <w:sz w:val="36"/>
        </w:rPr>
      </w:pPr>
      <w:bookmarkStart w:id="1" w:name="_Hlk97907098"/>
    </w:p>
    <w:p w14:paraId="7965E050" w14:textId="545B516D" w:rsidR="008453D6" w:rsidRDefault="008453D6" w:rsidP="00FB1BB7">
      <w:pPr>
        <w:spacing w:line="240" w:lineRule="auto"/>
        <w:rPr>
          <w:b/>
          <w:sz w:val="36"/>
        </w:rPr>
      </w:pPr>
    </w:p>
    <w:p w14:paraId="4E4F9FE2" w14:textId="77777777" w:rsidR="008453D6" w:rsidRPr="00176DFF" w:rsidRDefault="008453D6" w:rsidP="00FB1BB7">
      <w:pPr>
        <w:spacing w:line="240" w:lineRule="auto"/>
        <w:rPr>
          <w:b/>
          <w:sz w:val="36"/>
        </w:rPr>
      </w:pPr>
    </w:p>
    <w:p w14:paraId="67C1888B" w14:textId="359B5053" w:rsidR="0087560D" w:rsidRPr="00176DFF" w:rsidRDefault="00562579" w:rsidP="00FB1BB7">
      <w:pPr>
        <w:spacing w:line="240" w:lineRule="auto"/>
        <w:jc w:val="center"/>
        <w:rPr>
          <w:b/>
          <w:sz w:val="72"/>
        </w:rPr>
      </w:pPr>
      <w:r>
        <w:rPr>
          <w:b/>
          <w:sz w:val="72"/>
        </w:rPr>
        <w:t xml:space="preserve">GRUPPO </w:t>
      </w:r>
      <w:r w:rsidR="00FA6984">
        <w:rPr>
          <w:b/>
          <w:sz w:val="72"/>
        </w:rPr>
        <w:t>RETIAMBIENTE</w:t>
      </w:r>
      <w:r w:rsidR="00EA09BC" w:rsidRPr="00176DFF">
        <w:rPr>
          <w:b/>
          <w:sz w:val="72"/>
        </w:rPr>
        <w:t xml:space="preserve"> </w:t>
      </w:r>
    </w:p>
    <w:p w14:paraId="06A01C42" w14:textId="77777777" w:rsidR="0087560D" w:rsidRPr="00176DFF" w:rsidRDefault="0087560D" w:rsidP="00FB1BB7">
      <w:pPr>
        <w:spacing w:line="240" w:lineRule="auto"/>
        <w:rPr>
          <w:b/>
          <w:sz w:val="36"/>
        </w:rPr>
      </w:pPr>
    </w:p>
    <w:p w14:paraId="4768C8B2" w14:textId="77777777" w:rsidR="008D031D" w:rsidRPr="00176DFF" w:rsidRDefault="008D031D" w:rsidP="00FB1BB7">
      <w:pPr>
        <w:spacing w:line="240" w:lineRule="auto"/>
        <w:rPr>
          <w:b/>
          <w:sz w:val="36"/>
        </w:rPr>
      </w:pPr>
    </w:p>
    <w:p w14:paraId="19E841C3" w14:textId="77777777" w:rsidR="008D031D" w:rsidRPr="00176DFF" w:rsidRDefault="008D031D" w:rsidP="00FB1BB7">
      <w:pPr>
        <w:spacing w:line="240" w:lineRule="auto"/>
        <w:rPr>
          <w:b/>
          <w:sz w:val="36"/>
        </w:rPr>
      </w:pPr>
    </w:p>
    <w:p w14:paraId="7E2F9B4B" w14:textId="57F9331D" w:rsidR="008D031D" w:rsidRDefault="008D031D" w:rsidP="00FB1BB7">
      <w:pPr>
        <w:spacing w:line="240" w:lineRule="auto"/>
        <w:rPr>
          <w:b/>
          <w:sz w:val="36"/>
        </w:rPr>
      </w:pPr>
    </w:p>
    <w:p w14:paraId="0E2AC91D" w14:textId="77777777" w:rsidR="008453D6" w:rsidRPr="00176DFF" w:rsidRDefault="008453D6" w:rsidP="00FB1BB7">
      <w:pPr>
        <w:spacing w:line="240" w:lineRule="auto"/>
        <w:rPr>
          <w:b/>
          <w:sz w:val="36"/>
        </w:rPr>
      </w:pPr>
    </w:p>
    <w:p w14:paraId="03659B10" w14:textId="77777777" w:rsidR="00FB1BB7" w:rsidRPr="00176DFF" w:rsidRDefault="00FB1BB7" w:rsidP="008453D6">
      <w:pPr>
        <w:spacing w:line="240" w:lineRule="auto"/>
        <w:jc w:val="center"/>
        <w:rPr>
          <w:b/>
          <w:sz w:val="36"/>
        </w:rPr>
      </w:pPr>
    </w:p>
    <w:p w14:paraId="64F1CCA0" w14:textId="4D989774" w:rsidR="000A15FF" w:rsidRDefault="00EB7461" w:rsidP="00B508A7">
      <w:pPr>
        <w:spacing w:line="240" w:lineRule="auto"/>
        <w:jc w:val="center"/>
        <w:rPr>
          <w:b/>
          <w:sz w:val="44"/>
          <w:szCs w:val="28"/>
        </w:rPr>
      </w:pPr>
      <w:r>
        <w:rPr>
          <w:b/>
          <w:sz w:val="44"/>
          <w:szCs w:val="28"/>
        </w:rPr>
        <w:t>Analisi del contesto esterno e interno</w:t>
      </w:r>
    </w:p>
    <w:p w14:paraId="69B58FC1" w14:textId="7558D5DF" w:rsidR="000A15FF" w:rsidRDefault="000A15FF" w:rsidP="008453D6">
      <w:pPr>
        <w:spacing w:line="240" w:lineRule="auto"/>
        <w:jc w:val="center"/>
        <w:rPr>
          <w:b/>
          <w:sz w:val="44"/>
          <w:szCs w:val="28"/>
        </w:rPr>
      </w:pPr>
    </w:p>
    <w:p w14:paraId="6C11C864" w14:textId="01419241" w:rsidR="000A15FF" w:rsidRDefault="000A15FF" w:rsidP="008453D6">
      <w:pPr>
        <w:spacing w:line="240" w:lineRule="auto"/>
        <w:jc w:val="center"/>
        <w:rPr>
          <w:b/>
          <w:sz w:val="44"/>
          <w:szCs w:val="28"/>
        </w:rPr>
      </w:pPr>
    </w:p>
    <w:p w14:paraId="4B9466B5" w14:textId="17351635" w:rsidR="000A15FF" w:rsidRDefault="000A15FF" w:rsidP="008453D6">
      <w:pPr>
        <w:spacing w:line="240" w:lineRule="auto"/>
        <w:jc w:val="center"/>
        <w:rPr>
          <w:b/>
          <w:sz w:val="44"/>
          <w:szCs w:val="28"/>
        </w:rPr>
      </w:pPr>
    </w:p>
    <w:p w14:paraId="6AA1B622" w14:textId="31EAA71D" w:rsidR="000A15FF" w:rsidRDefault="000A15FF" w:rsidP="008453D6">
      <w:pPr>
        <w:spacing w:line="240" w:lineRule="auto"/>
        <w:jc w:val="center"/>
        <w:rPr>
          <w:b/>
          <w:sz w:val="44"/>
          <w:szCs w:val="28"/>
        </w:rPr>
      </w:pPr>
    </w:p>
    <w:p w14:paraId="1219D9BE" w14:textId="77777777" w:rsidR="00FC73ED" w:rsidRDefault="00FC73ED" w:rsidP="008453D6">
      <w:pPr>
        <w:spacing w:line="240" w:lineRule="auto"/>
        <w:jc w:val="center"/>
        <w:rPr>
          <w:b/>
          <w:sz w:val="44"/>
          <w:szCs w:val="28"/>
        </w:rPr>
      </w:pPr>
    </w:p>
    <w:p w14:paraId="1036405C" w14:textId="158A25B5" w:rsidR="003370A6" w:rsidRDefault="003370A6" w:rsidP="008453D6">
      <w:pPr>
        <w:spacing w:line="240" w:lineRule="auto"/>
        <w:jc w:val="center"/>
        <w:rPr>
          <w:b/>
          <w:sz w:val="44"/>
          <w:szCs w:val="28"/>
        </w:rPr>
      </w:pPr>
    </w:p>
    <w:p w14:paraId="3B53C95A" w14:textId="77777777" w:rsidR="00EB7461" w:rsidRDefault="00EB7461" w:rsidP="008453D6">
      <w:pPr>
        <w:spacing w:line="240" w:lineRule="auto"/>
        <w:jc w:val="center"/>
        <w:rPr>
          <w:b/>
          <w:sz w:val="44"/>
          <w:szCs w:val="28"/>
        </w:rPr>
      </w:pPr>
    </w:p>
    <w:p w14:paraId="414023FD" w14:textId="77777777" w:rsidR="00EB7461" w:rsidRDefault="00EB7461" w:rsidP="008453D6">
      <w:pPr>
        <w:spacing w:line="240" w:lineRule="auto"/>
        <w:jc w:val="center"/>
        <w:rPr>
          <w:b/>
          <w:sz w:val="44"/>
          <w:szCs w:val="28"/>
        </w:rPr>
      </w:pPr>
    </w:p>
    <w:p w14:paraId="36FE5216" w14:textId="77777777" w:rsidR="00EB7461" w:rsidRDefault="00EB7461" w:rsidP="008453D6">
      <w:pPr>
        <w:spacing w:line="240" w:lineRule="auto"/>
        <w:jc w:val="center"/>
        <w:rPr>
          <w:b/>
          <w:sz w:val="44"/>
          <w:szCs w:val="28"/>
        </w:rPr>
      </w:pPr>
    </w:p>
    <w:p w14:paraId="74D1A3C3" w14:textId="77777777" w:rsidR="00EB7461" w:rsidRDefault="00EB7461" w:rsidP="008453D6">
      <w:pPr>
        <w:spacing w:line="240" w:lineRule="auto"/>
        <w:jc w:val="center"/>
        <w:rPr>
          <w:b/>
          <w:sz w:val="44"/>
          <w:szCs w:val="28"/>
        </w:rPr>
      </w:pPr>
    </w:p>
    <w:p w14:paraId="578C1606" w14:textId="77777777" w:rsidR="00EB7461" w:rsidRDefault="00EB7461" w:rsidP="008453D6">
      <w:pPr>
        <w:spacing w:line="240" w:lineRule="auto"/>
        <w:jc w:val="center"/>
        <w:rPr>
          <w:b/>
          <w:sz w:val="44"/>
          <w:szCs w:val="28"/>
        </w:rPr>
      </w:pPr>
    </w:p>
    <w:p w14:paraId="0C463D50" w14:textId="77777777" w:rsidR="00EB7461" w:rsidRDefault="00EB7461" w:rsidP="008453D6">
      <w:pPr>
        <w:spacing w:line="240" w:lineRule="auto"/>
        <w:jc w:val="center"/>
        <w:rPr>
          <w:b/>
          <w:sz w:val="44"/>
          <w:szCs w:val="28"/>
        </w:rPr>
      </w:pPr>
    </w:p>
    <w:p w14:paraId="1D62C093" w14:textId="77777777" w:rsidR="00EB7461" w:rsidRDefault="00EB7461" w:rsidP="008453D6">
      <w:pPr>
        <w:spacing w:line="240" w:lineRule="auto"/>
        <w:jc w:val="center"/>
        <w:rPr>
          <w:b/>
          <w:sz w:val="44"/>
          <w:szCs w:val="28"/>
        </w:rPr>
      </w:pPr>
    </w:p>
    <w:p w14:paraId="5D17A8B7" w14:textId="77777777" w:rsidR="00EB7461" w:rsidRDefault="00EB7461" w:rsidP="008453D6">
      <w:pPr>
        <w:spacing w:line="240" w:lineRule="auto"/>
        <w:jc w:val="center"/>
        <w:rPr>
          <w:b/>
          <w:sz w:val="44"/>
          <w:szCs w:val="28"/>
        </w:rPr>
      </w:pPr>
    </w:p>
    <w:p w14:paraId="590CF938" w14:textId="51B992D6" w:rsidR="00EB7461" w:rsidRPr="00EB7461" w:rsidRDefault="00EB7461" w:rsidP="008453D6">
      <w:pPr>
        <w:spacing w:line="240" w:lineRule="auto"/>
        <w:jc w:val="center"/>
        <w:rPr>
          <w:b/>
          <w:sz w:val="28"/>
          <w:szCs w:val="28"/>
        </w:rPr>
      </w:pPr>
      <w:r w:rsidRPr="00EB7461">
        <w:rPr>
          <w:b/>
          <w:sz w:val="28"/>
          <w:szCs w:val="28"/>
        </w:rPr>
        <w:lastRenderedPageBreak/>
        <w:t>Stato revisioni</w:t>
      </w:r>
    </w:p>
    <w:p w14:paraId="6FD54653" w14:textId="77777777" w:rsidR="00A96668" w:rsidRDefault="00A96668" w:rsidP="008453D6">
      <w:pPr>
        <w:spacing w:line="240" w:lineRule="auto"/>
        <w:jc w:val="center"/>
        <w:rPr>
          <w:b/>
          <w:sz w:val="44"/>
          <w:szCs w:val="28"/>
        </w:rPr>
      </w:pP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38"/>
        <w:gridCol w:w="2126"/>
        <w:gridCol w:w="6100"/>
      </w:tblGrid>
      <w:tr w:rsidR="008E0589" w:rsidRPr="00FC73ED" w14:paraId="07BEAB81" w14:textId="77777777" w:rsidTr="008E0589">
        <w:trPr>
          <w:trHeight w:val="577"/>
          <w:jc w:val="center"/>
        </w:trPr>
        <w:tc>
          <w:tcPr>
            <w:tcW w:w="1134" w:type="dxa"/>
            <w:shd w:val="clear" w:color="auto" w:fill="auto"/>
            <w:vAlign w:val="center"/>
          </w:tcPr>
          <w:bookmarkEnd w:id="1"/>
          <w:p w14:paraId="7F224141" w14:textId="77777777" w:rsidR="008E0589" w:rsidRPr="00FC73ED" w:rsidRDefault="008E0589" w:rsidP="00F74F2E">
            <w:pPr>
              <w:jc w:val="center"/>
              <w:rPr>
                <w:b/>
                <w:sz w:val="20"/>
                <w:szCs w:val="20"/>
              </w:rPr>
            </w:pPr>
            <w:r w:rsidRPr="00FC73ED">
              <w:rPr>
                <w:b/>
                <w:sz w:val="20"/>
                <w:szCs w:val="20"/>
              </w:rPr>
              <w:t>Rev.</w:t>
            </w:r>
          </w:p>
        </w:tc>
        <w:tc>
          <w:tcPr>
            <w:tcW w:w="1838" w:type="dxa"/>
            <w:shd w:val="clear" w:color="auto" w:fill="auto"/>
            <w:vAlign w:val="center"/>
          </w:tcPr>
          <w:p w14:paraId="1D5631DE" w14:textId="1FDD3D42" w:rsidR="008E0589" w:rsidRPr="00FC73ED" w:rsidRDefault="008E0589" w:rsidP="00F74F2E">
            <w:pPr>
              <w:jc w:val="center"/>
              <w:rPr>
                <w:b/>
                <w:sz w:val="20"/>
                <w:szCs w:val="20"/>
              </w:rPr>
            </w:pPr>
            <w:r w:rsidRPr="00FC73ED">
              <w:rPr>
                <w:b/>
                <w:sz w:val="20"/>
                <w:szCs w:val="20"/>
              </w:rPr>
              <w:t>Data approvazione</w:t>
            </w:r>
          </w:p>
        </w:tc>
        <w:tc>
          <w:tcPr>
            <w:tcW w:w="2126" w:type="dxa"/>
            <w:shd w:val="clear" w:color="auto" w:fill="auto"/>
            <w:vAlign w:val="center"/>
          </w:tcPr>
          <w:p w14:paraId="6EB20669" w14:textId="28DC0FC8" w:rsidR="008E0589" w:rsidRPr="00FC73ED" w:rsidRDefault="008E0589" w:rsidP="00F74F2E">
            <w:pPr>
              <w:jc w:val="center"/>
              <w:rPr>
                <w:b/>
                <w:sz w:val="20"/>
                <w:szCs w:val="20"/>
              </w:rPr>
            </w:pPr>
            <w:r w:rsidRPr="00FC73ED">
              <w:rPr>
                <w:b/>
                <w:sz w:val="20"/>
                <w:szCs w:val="20"/>
              </w:rPr>
              <w:t>Descrizione</w:t>
            </w:r>
          </w:p>
        </w:tc>
        <w:tc>
          <w:tcPr>
            <w:tcW w:w="6100" w:type="dxa"/>
            <w:shd w:val="clear" w:color="auto" w:fill="auto"/>
            <w:vAlign w:val="center"/>
          </w:tcPr>
          <w:p w14:paraId="3EACD6F1" w14:textId="77777777" w:rsidR="008E0589" w:rsidRPr="00FC73ED" w:rsidRDefault="008E0589" w:rsidP="00F74F2E">
            <w:pPr>
              <w:jc w:val="center"/>
              <w:rPr>
                <w:b/>
                <w:sz w:val="20"/>
                <w:szCs w:val="20"/>
              </w:rPr>
            </w:pPr>
            <w:r w:rsidRPr="00FC73ED">
              <w:rPr>
                <w:b/>
                <w:sz w:val="20"/>
                <w:szCs w:val="20"/>
              </w:rPr>
              <w:t>Approvazione</w:t>
            </w:r>
          </w:p>
        </w:tc>
      </w:tr>
      <w:tr w:rsidR="00091189" w:rsidRPr="00FC73ED" w14:paraId="6F5CD301" w14:textId="77777777" w:rsidTr="008E0589">
        <w:trPr>
          <w:trHeight w:val="285"/>
          <w:jc w:val="center"/>
        </w:trPr>
        <w:tc>
          <w:tcPr>
            <w:tcW w:w="1134" w:type="dxa"/>
            <w:vMerge w:val="restart"/>
            <w:shd w:val="clear" w:color="auto" w:fill="auto"/>
            <w:vAlign w:val="center"/>
          </w:tcPr>
          <w:p w14:paraId="38C62012" w14:textId="77777777" w:rsidR="00091189" w:rsidRPr="00FC73ED" w:rsidRDefault="00091189" w:rsidP="00BC1265">
            <w:pPr>
              <w:spacing w:line="240" w:lineRule="auto"/>
              <w:jc w:val="center"/>
              <w:rPr>
                <w:bCs/>
                <w:sz w:val="20"/>
                <w:szCs w:val="20"/>
              </w:rPr>
            </w:pPr>
            <w:r w:rsidRPr="00FC73ED">
              <w:rPr>
                <w:bCs/>
                <w:sz w:val="20"/>
                <w:szCs w:val="20"/>
              </w:rPr>
              <w:t>00</w:t>
            </w:r>
          </w:p>
        </w:tc>
        <w:tc>
          <w:tcPr>
            <w:tcW w:w="1838" w:type="dxa"/>
            <w:shd w:val="clear" w:color="auto" w:fill="auto"/>
            <w:vAlign w:val="center"/>
          </w:tcPr>
          <w:p w14:paraId="0890813D" w14:textId="36DC6D0E" w:rsidR="00091189" w:rsidRPr="00FC73ED" w:rsidRDefault="00192C46" w:rsidP="00BC1265">
            <w:pPr>
              <w:spacing w:line="240" w:lineRule="auto"/>
              <w:jc w:val="center"/>
              <w:rPr>
                <w:bCs/>
                <w:sz w:val="20"/>
                <w:szCs w:val="20"/>
              </w:rPr>
            </w:pPr>
            <w:r>
              <w:rPr>
                <w:bCs/>
                <w:sz w:val="20"/>
                <w:szCs w:val="20"/>
              </w:rPr>
              <w:t>26/01/2024</w:t>
            </w:r>
          </w:p>
        </w:tc>
        <w:tc>
          <w:tcPr>
            <w:tcW w:w="2126" w:type="dxa"/>
            <w:vMerge w:val="restart"/>
            <w:shd w:val="clear" w:color="auto" w:fill="auto"/>
            <w:vAlign w:val="center"/>
          </w:tcPr>
          <w:p w14:paraId="78AF8BC9" w14:textId="2B235EA8" w:rsidR="00091189" w:rsidRPr="00FC73ED" w:rsidRDefault="00091189" w:rsidP="00BC1265">
            <w:pPr>
              <w:spacing w:line="240" w:lineRule="auto"/>
              <w:jc w:val="center"/>
              <w:rPr>
                <w:bCs/>
                <w:sz w:val="20"/>
                <w:szCs w:val="20"/>
              </w:rPr>
            </w:pPr>
            <w:r>
              <w:rPr>
                <w:bCs/>
                <w:sz w:val="20"/>
                <w:szCs w:val="20"/>
              </w:rPr>
              <w:t>Estrapolazione dell’analisi del contesto dal PTPCT e creazione di uno specifico allegato</w:t>
            </w:r>
          </w:p>
        </w:tc>
        <w:tc>
          <w:tcPr>
            <w:tcW w:w="6100" w:type="dxa"/>
            <w:shd w:val="clear" w:color="auto" w:fill="auto"/>
            <w:vAlign w:val="center"/>
          </w:tcPr>
          <w:p w14:paraId="019294A3" w14:textId="60486E73" w:rsidR="00091189" w:rsidRPr="00FC73ED" w:rsidRDefault="00091189" w:rsidP="00BC1265">
            <w:pPr>
              <w:spacing w:line="240" w:lineRule="auto"/>
              <w:jc w:val="center"/>
              <w:rPr>
                <w:bCs/>
                <w:sz w:val="20"/>
                <w:szCs w:val="20"/>
              </w:rPr>
            </w:pPr>
            <w:r w:rsidRPr="00FC73ED">
              <w:rPr>
                <w:bCs/>
                <w:sz w:val="20"/>
                <w:szCs w:val="20"/>
              </w:rPr>
              <w:t>Consiglio di Amministrazione di RetiAmbiente S.p.A.</w:t>
            </w:r>
          </w:p>
        </w:tc>
      </w:tr>
      <w:tr w:rsidR="00BC6818" w:rsidRPr="00FC73ED" w14:paraId="45E5D909" w14:textId="77777777" w:rsidTr="008E0589">
        <w:trPr>
          <w:trHeight w:val="285"/>
          <w:jc w:val="center"/>
        </w:trPr>
        <w:tc>
          <w:tcPr>
            <w:tcW w:w="1134" w:type="dxa"/>
            <w:vMerge/>
            <w:shd w:val="clear" w:color="auto" w:fill="auto"/>
            <w:vAlign w:val="center"/>
          </w:tcPr>
          <w:p w14:paraId="1C359173" w14:textId="77777777" w:rsidR="00BC6818" w:rsidRPr="00FC73ED" w:rsidRDefault="00BC6818" w:rsidP="00BC6818">
            <w:pPr>
              <w:spacing w:line="240" w:lineRule="auto"/>
              <w:jc w:val="center"/>
              <w:rPr>
                <w:bCs/>
                <w:sz w:val="20"/>
                <w:szCs w:val="20"/>
              </w:rPr>
            </w:pPr>
          </w:p>
        </w:tc>
        <w:tc>
          <w:tcPr>
            <w:tcW w:w="1838" w:type="dxa"/>
            <w:shd w:val="clear" w:color="auto" w:fill="auto"/>
            <w:vAlign w:val="center"/>
          </w:tcPr>
          <w:p w14:paraId="4E19B102" w14:textId="6B65ADFC" w:rsidR="00BC6818" w:rsidRPr="00732D60" w:rsidRDefault="00BC6818" w:rsidP="00BC6818">
            <w:pPr>
              <w:spacing w:line="240" w:lineRule="auto"/>
              <w:jc w:val="center"/>
              <w:rPr>
                <w:bCs/>
                <w:sz w:val="20"/>
                <w:szCs w:val="20"/>
                <w:highlight w:val="yellow"/>
              </w:rPr>
            </w:pPr>
            <w:r w:rsidRPr="00DA1BB2">
              <w:rPr>
                <w:bCs/>
                <w:sz w:val="20"/>
                <w:szCs w:val="20"/>
              </w:rPr>
              <w:t>29/01/2024</w:t>
            </w:r>
          </w:p>
        </w:tc>
        <w:tc>
          <w:tcPr>
            <w:tcW w:w="2126" w:type="dxa"/>
            <w:vMerge/>
            <w:shd w:val="clear" w:color="auto" w:fill="auto"/>
            <w:vAlign w:val="center"/>
          </w:tcPr>
          <w:p w14:paraId="4AA87776" w14:textId="77777777" w:rsidR="00BC6818" w:rsidRDefault="00BC6818" w:rsidP="00BC6818">
            <w:pPr>
              <w:spacing w:line="240" w:lineRule="auto"/>
              <w:jc w:val="center"/>
              <w:rPr>
                <w:bCs/>
                <w:sz w:val="20"/>
                <w:szCs w:val="20"/>
              </w:rPr>
            </w:pPr>
          </w:p>
        </w:tc>
        <w:tc>
          <w:tcPr>
            <w:tcW w:w="6100" w:type="dxa"/>
            <w:shd w:val="clear" w:color="auto" w:fill="auto"/>
            <w:vAlign w:val="center"/>
          </w:tcPr>
          <w:p w14:paraId="3BFBCCA0" w14:textId="55C22564" w:rsidR="00BC6818" w:rsidRPr="00FC73ED" w:rsidRDefault="00BC6818" w:rsidP="00BC6818">
            <w:pPr>
              <w:spacing w:line="240" w:lineRule="auto"/>
              <w:jc w:val="center"/>
              <w:rPr>
                <w:bCs/>
                <w:sz w:val="20"/>
                <w:szCs w:val="20"/>
              </w:rPr>
            </w:pPr>
            <w:r w:rsidRPr="00FC73ED">
              <w:rPr>
                <w:sz w:val="20"/>
                <w:szCs w:val="20"/>
              </w:rPr>
              <w:t>Amministratore Unico di AAMPS S.p.A.</w:t>
            </w:r>
          </w:p>
        </w:tc>
      </w:tr>
      <w:tr w:rsidR="00BC6818" w:rsidRPr="00FC73ED" w14:paraId="08F252E8" w14:textId="77777777" w:rsidTr="008E0589">
        <w:trPr>
          <w:trHeight w:val="285"/>
          <w:jc w:val="center"/>
        </w:trPr>
        <w:tc>
          <w:tcPr>
            <w:tcW w:w="1134" w:type="dxa"/>
            <w:vMerge/>
            <w:shd w:val="clear" w:color="auto" w:fill="auto"/>
            <w:vAlign w:val="center"/>
          </w:tcPr>
          <w:p w14:paraId="7AF750F6" w14:textId="77777777" w:rsidR="00BC6818" w:rsidRPr="00FC73ED" w:rsidRDefault="00BC6818" w:rsidP="00BC6818">
            <w:pPr>
              <w:spacing w:line="240" w:lineRule="auto"/>
              <w:jc w:val="center"/>
              <w:rPr>
                <w:bCs/>
                <w:sz w:val="20"/>
                <w:szCs w:val="20"/>
              </w:rPr>
            </w:pPr>
          </w:p>
        </w:tc>
        <w:tc>
          <w:tcPr>
            <w:tcW w:w="1838" w:type="dxa"/>
            <w:shd w:val="clear" w:color="auto" w:fill="auto"/>
            <w:vAlign w:val="center"/>
          </w:tcPr>
          <w:p w14:paraId="7CE9ED7E" w14:textId="7C39E225" w:rsidR="00BC6818" w:rsidRPr="00732D60" w:rsidRDefault="00BC6818" w:rsidP="00BC6818">
            <w:pPr>
              <w:spacing w:line="240" w:lineRule="auto"/>
              <w:jc w:val="center"/>
              <w:rPr>
                <w:bCs/>
                <w:sz w:val="20"/>
                <w:szCs w:val="20"/>
                <w:highlight w:val="yellow"/>
              </w:rPr>
            </w:pPr>
            <w:r w:rsidRPr="00DA1BB2">
              <w:rPr>
                <w:bCs/>
                <w:sz w:val="20"/>
                <w:szCs w:val="20"/>
              </w:rPr>
              <w:t>29/01/2024</w:t>
            </w:r>
          </w:p>
        </w:tc>
        <w:tc>
          <w:tcPr>
            <w:tcW w:w="2126" w:type="dxa"/>
            <w:vMerge/>
            <w:shd w:val="clear" w:color="auto" w:fill="auto"/>
            <w:vAlign w:val="center"/>
          </w:tcPr>
          <w:p w14:paraId="3548EBFE" w14:textId="77777777" w:rsidR="00BC6818" w:rsidRDefault="00BC6818" w:rsidP="00BC6818">
            <w:pPr>
              <w:spacing w:line="240" w:lineRule="auto"/>
              <w:jc w:val="center"/>
              <w:rPr>
                <w:bCs/>
                <w:sz w:val="20"/>
                <w:szCs w:val="20"/>
              </w:rPr>
            </w:pPr>
          </w:p>
        </w:tc>
        <w:tc>
          <w:tcPr>
            <w:tcW w:w="6100" w:type="dxa"/>
            <w:shd w:val="clear" w:color="auto" w:fill="auto"/>
            <w:vAlign w:val="center"/>
          </w:tcPr>
          <w:p w14:paraId="4992346F" w14:textId="14215196" w:rsidR="00BC6818" w:rsidRPr="00FC73ED" w:rsidRDefault="00BC6818" w:rsidP="00BC6818">
            <w:pPr>
              <w:spacing w:line="240" w:lineRule="auto"/>
              <w:jc w:val="center"/>
              <w:rPr>
                <w:bCs/>
                <w:sz w:val="20"/>
                <w:szCs w:val="20"/>
              </w:rPr>
            </w:pPr>
            <w:r w:rsidRPr="00FC73ED">
              <w:rPr>
                <w:sz w:val="20"/>
                <w:szCs w:val="20"/>
              </w:rPr>
              <w:t>Consiglio di Amministrazione di ASCIT S.p.A.</w:t>
            </w:r>
          </w:p>
        </w:tc>
      </w:tr>
      <w:tr w:rsidR="00BC6818" w:rsidRPr="00FC73ED" w14:paraId="34E0FBBB" w14:textId="77777777" w:rsidTr="008E0589">
        <w:trPr>
          <w:trHeight w:val="285"/>
          <w:jc w:val="center"/>
        </w:trPr>
        <w:tc>
          <w:tcPr>
            <w:tcW w:w="1134" w:type="dxa"/>
            <w:vMerge/>
            <w:shd w:val="clear" w:color="auto" w:fill="auto"/>
            <w:vAlign w:val="center"/>
          </w:tcPr>
          <w:p w14:paraId="10D4DB9C" w14:textId="77777777" w:rsidR="00BC6818" w:rsidRPr="00FC73ED" w:rsidRDefault="00BC6818" w:rsidP="00BC6818">
            <w:pPr>
              <w:spacing w:line="240" w:lineRule="auto"/>
              <w:jc w:val="center"/>
              <w:rPr>
                <w:bCs/>
                <w:sz w:val="20"/>
                <w:szCs w:val="20"/>
              </w:rPr>
            </w:pPr>
          </w:p>
        </w:tc>
        <w:tc>
          <w:tcPr>
            <w:tcW w:w="1838" w:type="dxa"/>
            <w:shd w:val="clear" w:color="auto" w:fill="auto"/>
            <w:vAlign w:val="center"/>
          </w:tcPr>
          <w:p w14:paraId="50F99D61" w14:textId="15CA9184" w:rsidR="00BC6818" w:rsidRPr="00732D60" w:rsidRDefault="00BC6818" w:rsidP="00BC6818">
            <w:pPr>
              <w:spacing w:line="240" w:lineRule="auto"/>
              <w:jc w:val="center"/>
              <w:rPr>
                <w:bCs/>
                <w:sz w:val="20"/>
                <w:szCs w:val="20"/>
                <w:highlight w:val="yellow"/>
              </w:rPr>
            </w:pPr>
            <w:r w:rsidRPr="00610FF9">
              <w:rPr>
                <w:bCs/>
                <w:sz w:val="20"/>
                <w:szCs w:val="20"/>
              </w:rPr>
              <w:t>31/01/2024</w:t>
            </w:r>
          </w:p>
        </w:tc>
        <w:tc>
          <w:tcPr>
            <w:tcW w:w="2126" w:type="dxa"/>
            <w:vMerge/>
            <w:shd w:val="clear" w:color="auto" w:fill="auto"/>
            <w:vAlign w:val="center"/>
          </w:tcPr>
          <w:p w14:paraId="13176470" w14:textId="77777777" w:rsidR="00BC6818" w:rsidRDefault="00BC6818" w:rsidP="00BC6818">
            <w:pPr>
              <w:spacing w:line="240" w:lineRule="auto"/>
              <w:jc w:val="center"/>
              <w:rPr>
                <w:bCs/>
                <w:sz w:val="20"/>
                <w:szCs w:val="20"/>
              </w:rPr>
            </w:pPr>
          </w:p>
        </w:tc>
        <w:tc>
          <w:tcPr>
            <w:tcW w:w="6100" w:type="dxa"/>
            <w:shd w:val="clear" w:color="auto" w:fill="auto"/>
            <w:vAlign w:val="center"/>
          </w:tcPr>
          <w:p w14:paraId="0374DA22" w14:textId="7B080789" w:rsidR="00BC6818" w:rsidRPr="00FC73ED" w:rsidRDefault="00BC6818" w:rsidP="00BC6818">
            <w:pPr>
              <w:spacing w:line="240" w:lineRule="auto"/>
              <w:jc w:val="center"/>
              <w:rPr>
                <w:bCs/>
                <w:sz w:val="20"/>
                <w:szCs w:val="20"/>
              </w:rPr>
            </w:pPr>
            <w:r w:rsidRPr="00FC73ED">
              <w:rPr>
                <w:sz w:val="20"/>
                <w:szCs w:val="20"/>
              </w:rPr>
              <w:t>Consiglio di Amministrazione di GEOFOR S.p.A.</w:t>
            </w:r>
          </w:p>
        </w:tc>
      </w:tr>
      <w:tr w:rsidR="00BC6818" w:rsidRPr="00FC73ED" w14:paraId="3FFDE3F5" w14:textId="77777777" w:rsidTr="008E0589">
        <w:trPr>
          <w:trHeight w:val="285"/>
          <w:jc w:val="center"/>
        </w:trPr>
        <w:tc>
          <w:tcPr>
            <w:tcW w:w="1134" w:type="dxa"/>
            <w:vMerge/>
            <w:shd w:val="clear" w:color="auto" w:fill="auto"/>
            <w:vAlign w:val="center"/>
          </w:tcPr>
          <w:p w14:paraId="40A22935" w14:textId="77777777" w:rsidR="00BC6818" w:rsidRPr="00FC73ED" w:rsidRDefault="00BC6818" w:rsidP="00BC6818">
            <w:pPr>
              <w:spacing w:line="240" w:lineRule="auto"/>
              <w:jc w:val="center"/>
              <w:rPr>
                <w:bCs/>
                <w:sz w:val="20"/>
                <w:szCs w:val="20"/>
              </w:rPr>
            </w:pPr>
          </w:p>
        </w:tc>
        <w:tc>
          <w:tcPr>
            <w:tcW w:w="1838" w:type="dxa"/>
            <w:shd w:val="clear" w:color="auto" w:fill="auto"/>
            <w:vAlign w:val="center"/>
          </w:tcPr>
          <w:p w14:paraId="2813AD19" w14:textId="204D753F" w:rsidR="00BC6818" w:rsidRPr="00732D60" w:rsidRDefault="00BC6818" w:rsidP="00BC6818">
            <w:pPr>
              <w:spacing w:line="240" w:lineRule="auto"/>
              <w:jc w:val="center"/>
              <w:rPr>
                <w:bCs/>
                <w:sz w:val="20"/>
                <w:szCs w:val="20"/>
                <w:highlight w:val="yellow"/>
              </w:rPr>
            </w:pPr>
            <w:r w:rsidRPr="00DA1BB2">
              <w:rPr>
                <w:bCs/>
                <w:sz w:val="20"/>
                <w:szCs w:val="20"/>
              </w:rPr>
              <w:t>29/01/2024</w:t>
            </w:r>
          </w:p>
        </w:tc>
        <w:tc>
          <w:tcPr>
            <w:tcW w:w="2126" w:type="dxa"/>
            <w:vMerge/>
            <w:shd w:val="clear" w:color="auto" w:fill="auto"/>
            <w:vAlign w:val="center"/>
          </w:tcPr>
          <w:p w14:paraId="15E45F91" w14:textId="77777777" w:rsidR="00BC6818" w:rsidRDefault="00BC6818" w:rsidP="00BC6818">
            <w:pPr>
              <w:spacing w:line="240" w:lineRule="auto"/>
              <w:jc w:val="center"/>
              <w:rPr>
                <w:bCs/>
                <w:sz w:val="20"/>
                <w:szCs w:val="20"/>
              </w:rPr>
            </w:pPr>
          </w:p>
        </w:tc>
        <w:tc>
          <w:tcPr>
            <w:tcW w:w="6100" w:type="dxa"/>
            <w:shd w:val="clear" w:color="auto" w:fill="auto"/>
            <w:vAlign w:val="center"/>
          </w:tcPr>
          <w:p w14:paraId="7532FC17" w14:textId="05D0AB71" w:rsidR="00BC6818" w:rsidRPr="00FC73ED" w:rsidRDefault="00BC6818" w:rsidP="00BC6818">
            <w:pPr>
              <w:spacing w:line="240" w:lineRule="auto"/>
              <w:jc w:val="center"/>
              <w:rPr>
                <w:bCs/>
                <w:sz w:val="20"/>
                <w:szCs w:val="20"/>
              </w:rPr>
            </w:pPr>
            <w:r w:rsidRPr="00FC73ED">
              <w:rPr>
                <w:sz w:val="20"/>
                <w:szCs w:val="20"/>
              </w:rPr>
              <w:t>Amministratore Unico di ERSU S.p.A.</w:t>
            </w:r>
          </w:p>
        </w:tc>
      </w:tr>
      <w:tr w:rsidR="00BC6818" w:rsidRPr="00FC73ED" w14:paraId="02D1A3FE" w14:textId="77777777" w:rsidTr="008E0589">
        <w:trPr>
          <w:trHeight w:val="285"/>
          <w:jc w:val="center"/>
        </w:trPr>
        <w:tc>
          <w:tcPr>
            <w:tcW w:w="1134" w:type="dxa"/>
            <w:vMerge/>
            <w:shd w:val="clear" w:color="auto" w:fill="auto"/>
            <w:vAlign w:val="center"/>
          </w:tcPr>
          <w:p w14:paraId="7876C9CE" w14:textId="77777777" w:rsidR="00BC6818" w:rsidRPr="00FC73ED" w:rsidRDefault="00BC6818" w:rsidP="00BC6818">
            <w:pPr>
              <w:spacing w:line="240" w:lineRule="auto"/>
              <w:jc w:val="center"/>
              <w:rPr>
                <w:bCs/>
                <w:sz w:val="20"/>
                <w:szCs w:val="20"/>
              </w:rPr>
            </w:pPr>
          </w:p>
        </w:tc>
        <w:tc>
          <w:tcPr>
            <w:tcW w:w="1838" w:type="dxa"/>
            <w:shd w:val="clear" w:color="auto" w:fill="auto"/>
            <w:vAlign w:val="center"/>
          </w:tcPr>
          <w:p w14:paraId="0028CE8A" w14:textId="1683E65C" w:rsidR="00BC6818" w:rsidRPr="00732D60" w:rsidRDefault="00BC6818" w:rsidP="00BC6818">
            <w:pPr>
              <w:spacing w:line="240" w:lineRule="auto"/>
              <w:jc w:val="center"/>
              <w:rPr>
                <w:bCs/>
                <w:sz w:val="20"/>
                <w:szCs w:val="20"/>
                <w:highlight w:val="yellow"/>
              </w:rPr>
            </w:pPr>
            <w:r w:rsidRPr="00610FF9">
              <w:rPr>
                <w:bCs/>
                <w:sz w:val="20"/>
                <w:szCs w:val="20"/>
              </w:rPr>
              <w:t>30/01/2024</w:t>
            </w:r>
          </w:p>
        </w:tc>
        <w:tc>
          <w:tcPr>
            <w:tcW w:w="2126" w:type="dxa"/>
            <w:vMerge/>
            <w:shd w:val="clear" w:color="auto" w:fill="auto"/>
            <w:vAlign w:val="center"/>
          </w:tcPr>
          <w:p w14:paraId="38882A6C" w14:textId="77777777" w:rsidR="00BC6818" w:rsidRDefault="00BC6818" w:rsidP="00BC6818">
            <w:pPr>
              <w:spacing w:line="240" w:lineRule="auto"/>
              <w:jc w:val="center"/>
              <w:rPr>
                <w:bCs/>
                <w:sz w:val="20"/>
                <w:szCs w:val="20"/>
              </w:rPr>
            </w:pPr>
          </w:p>
        </w:tc>
        <w:tc>
          <w:tcPr>
            <w:tcW w:w="6100" w:type="dxa"/>
            <w:shd w:val="clear" w:color="auto" w:fill="auto"/>
            <w:vAlign w:val="center"/>
          </w:tcPr>
          <w:p w14:paraId="5AD0441B" w14:textId="314DC3A0" w:rsidR="00BC6818" w:rsidRPr="00FC73ED" w:rsidRDefault="00BC6818" w:rsidP="00BC6818">
            <w:pPr>
              <w:spacing w:line="240" w:lineRule="auto"/>
              <w:jc w:val="center"/>
              <w:rPr>
                <w:bCs/>
                <w:sz w:val="20"/>
                <w:szCs w:val="20"/>
              </w:rPr>
            </w:pPr>
            <w:r w:rsidRPr="00FC73ED">
              <w:rPr>
                <w:sz w:val="20"/>
                <w:szCs w:val="20"/>
              </w:rPr>
              <w:t>Consiglio di Amministrazione di ESA S.p.A.</w:t>
            </w:r>
          </w:p>
        </w:tc>
      </w:tr>
      <w:tr w:rsidR="00BC6818" w:rsidRPr="00FC73ED" w14:paraId="61618DA5" w14:textId="77777777" w:rsidTr="008E0589">
        <w:trPr>
          <w:trHeight w:val="285"/>
          <w:jc w:val="center"/>
        </w:trPr>
        <w:tc>
          <w:tcPr>
            <w:tcW w:w="1134" w:type="dxa"/>
            <w:vMerge/>
            <w:shd w:val="clear" w:color="auto" w:fill="auto"/>
            <w:vAlign w:val="center"/>
          </w:tcPr>
          <w:p w14:paraId="2CCC4A3C" w14:textId="77777777" w:rsidR="00BC6818" w:rsidRPr="00FC73ED" w:rsidRDefault="00BC6818" w:rsidP="00BC6818">
            <w:pPr>
              <w:spacing w:line="240" w:lineRule="auto"/>
              <w:jc w:val="center"/>
              <w:rPr>
                <w:bCs/>
                <w:sz w:val="20"/>
                <w:szCs w:val="20"/>
              </w:rPr>
            </w:pPr>
          </w:p>
        </w:tc>
        <w:tc>
          <w:tcPr>
            <w:tcW w:w="1838" w:type="dxa"/>
            <w:shd w:val="clear" w:color="auto" w:fill="auto"/>
            <w:vAlign w:val="center"/>
          </w:tcPr>
          <w:p w14:paraId="3448A5A2" w14:textId="0CA1F390" w:rsidR="00BC6818" w:rsidRPr="00732D60" w:rsidRDefault="00BC6818" w:rsidP="00BC6818">
            <w:pPr>
              <w:spacing w:line="240" w:lineRule="auto"/>
              <w:jc w:val="center"/>
              <w:rPr>
                <w:bCs/>
                <w:sz w:val="20"/>
                <w:szCs w:val="20"/>
                <w:highlight w:val="yellow"/>
              </w:rPr>
            </w:pPr>
            <w:r w:rsidRPr="00610FF9">
              <w:rPr>
                <w:bCs/>
                <w:sz w:val="20"/>
                <w:szCs w:val="20"/>
              </w:rPr>
              <w:t>31/01/2024</w:t>
            </w:r>
          </w:p>
        </w:tc>
        <w:tc>
          <w:tcPr>
            <w:tcW w:w="2126" w:type="dxa"/>
            <w:vMerge/>
            <w:shd w:val="clear" w:color="auto" w:fill="auto"/>
            <w:vAlign w:val="center"/>
          </w:tcPr>
          <w:p w14:paraId="6206F66A" w14:textId="77777777" w:rsidR="00BC6818" w:rsidRDefault="00BC6818" w:rsidP="00BC6818">
            <w:pPr>
              <w:spacing w:line="240" w:lineRule="auto"/>
              <w:jc w:val="center"/>
              <w:rPr>
                <w:bCs/>
                <w:sz w:val="20"/>
                <w:szCs w:val="20"/>
              </w:rPr>
            </w:pPr>
          </w:p>
        </w:tc>
        <w:tc>
          <w:tcPr>
            <w:tcW w:w="6100" w:type="dxa"/>
            <w:shd w:val="clear" w:color="auto" w:fill="auto"/>
            <w:vAlign w:val="center"/>
          </w:tcPr>
          <w:p w14:paraId="4028340C" w14:textId="0F56A619" w:rsidR="00BC6818" w:rsidRPr="00FC73ED" w:rsidRDefault="00BC6818" w:rsidP="00BC6818">
            <w:pPr>
              <w:spacing w:line="240" w:lineRule="auto"/>
              <w:jc w:val="center"/>
              <w:rPr>
                <w:bCs/>
                <w:sz w:val="20"/>
                <w:szCs w:val="20"/>
              </w:rPr>
            </w:pPr>
            <w:r w:rsidRPr="00FC73ED">
              <w:rPr>
                <w:sz w:val="20"/>
                <w:szCs w:val="20"/>
              </w:rPr>
              <w:t>Amministratore Unico di REA S.p.A.</w:t>
            </w:r>
          </w:p>
        </w:tc>
      </w:tr>
      <w:tr w:rsidR="00BC6818" w:rsidRPr="00FC73ED" w14:paraId="44D9C12F" w14:textId="77777777" w:rsidTr="008E0589">
        <w:trPr>
          <w:trHeight w:val="285"/>
          <w:jc w:val="center"/>
        </w:trPr>
        <w:tc>
          <w:tcPr>
            <w:tcW w:w="1134" w:type="dxa"/>
            <w:vMerge/>
            <w:shd w:val="clear" w:color="auto" w:fill="auto"/>
            <w:vAlign w:val="center"/>
          </w:tcPr>
          <w:p w14:paraId="6FEA0878" w14:textId="77777777" w:rsidR="00BC6818" w:rsidRPr="00FC73ED" w:rsidRDefault="00BC6818" w:rsidP="00BC6818">
            <w:pPr>
              <w:spacing w:line="240" w:lineRule="auto"/>
              <w:jc w:val="center"/>
              <w:rPr>
                <w:bCs/>
                <w:sz w:val="20"/>
                <w:szCs w:val="20"/>
              </w:rPr>
            </w:pPr>
          </w:p>
        </w:tc>
        <w:tc>
          <w:tcPr>
            <w:tcW w:w="1838" w:type="dxa"/>
            <w:shd w:val="clear" w:color="auto" w:fill="auto"/>
            <w:vAlign w:val="center"/>
          </w:tcPr>
          <w:p w14:paraId="0053E1B4" w14:textId="579D7733" w:rsidR="00BC6818" w:rsidRPr="00732D60" w:rsidRDefault="00BC6818" w:rsidP="00BC6818">
            <w:pPr>
              <w:spacing w:line="240" w:lineRule="auto"/>
              <w:jc w:val="center"/>
              <w:rPr>
                <w:bCs/>
                <w:sz w:val="20"/>
                <w:szCs w:val="20"/>
                <w:highlight w:val="yellow"/>
              </w:rPr>
            </w:pPr>
            <w:r w:rsidRPr="00610FF9">
              <w:rPr>
                <w:bCs/>
                <w:sz w:val="20"/>
                <w:szCs w:val="20"/>
              </w:rPr>
              <w:t>29/01/2024</w:t>
            </w:r>
          </w:p>
        </w:tc>
        <w:tc>
          <w:tcPr>
            <w:tcW w:w="2126" w:type="dxa"/>
            <w:vMerge/>
            <w:shd w:val="clear" w:color="auto" w:fill="auto"/>
            <w:vAlign w:val="center"/>
          </w:tcPr>
          <w:p w14:paraId="2D065E7B" w14:textId="77777777" w:rsidR="00BC6818" w:rsidRDefault="00BC6818" w:rsidP="00BC6818">
            <w:pPr>
              <w:spacing w:line="240" w:lineRule="auto"/>
              <w:jc w:val="center"/>
              <w:rPr>
                <w:bCs/>
                <w:sz w:val="20"/>
                <w:szCs w:val="20"/>
              </w:rPr>
            </w:pPr>
          </w:p>
        </w:tc>
        <w:tc>
          <w:tcPr>
            <w:tcW w:w="6100" w:type="dxa"/>
            <w:shd w:val="clear" w:color="auto" w:fill="auto"/>
            <w:vAlign w:val="center"/>
          </w:tcPr>
          <w:p w14:paraId="68634EFA" w14:textId="0A2EBFD0" w:rsidR="00BC6818" w:rsidRPr="00FC73ED" w:rsidRDefault="00BC6818" w:rsidP="00BC6818">
            <w:pPr>
              <w:spacing w:line="240" w:lineRule="auto"/>
              <w:jc w:val="center"/>
              <w:rPr>
                <w:bCs/>
                <w:sz w:val="20"/>
                <w:szCs w:val="20"/>
              </w:rPr>
            </w:pPr>
            <w:r w:rsidRPr="00FC73ED">
              <w:rPr>
                <w:sz w:val="20"/>
                <w:szCs w:val="20"/>
              </w:rPr>
              <w:t>Amministratore Unico di SEA Ambiente S.p.A.</w:t>
            </w:r>
          </w:p>
        </w:tc>
      </w:tr>
      <w:tr w:rsidR="00BC6818" w:rsidRPr="00FC73ED" w14:paraId="3E172921" w14:textId="77777777" w:rsidTr="008E0589">
        <w:trPr>
          <w:trHeight w:val="285"/>
          <w:jc w:val="center"/>
        </w:trPr>
        <w:tc>
          <w:tcPr>
            <w:tcW w:w="1134" w:type="dxa"/>
            <w:vMerge/>
            <w:shd w:val="clear" w:color="auto" w:fill="auto"/>
            <w:vAlign w:val="center"/>
          </w:tcPr>
          <w:p w14:paraId="265B6A6D" w14:textId="77777777" w:rsidR="00BC6818" w:rsidRPr="00FC73ED" w:rsidRDefault="00BC6818" w:rsidP="00BC6818">
            <w:pPr>
              <w:spacing w:line="240" w:lineRule="auto"/>
              <w:jc w:val="center"/>
              <w:rPr>
                <w:bCs/>
                <w:sz w:val="20"/>
                <w:szCs w:val="20"/>
              </w:rPr>
            </w:pPr>
          </w:p>
        </w:tc>
        <w:tc>
          <w:tcPr>
            <w:tcW w:w="1838" w:type="dxa"/>
            <w:shd w:val="clear" w:color="auto" w:fill="auto"/>
            <w:vAlign w:val="center"/>
          </w:tcPr>
          <w:p w14:paraId="1C0EADD8" w14:textId="4FC9C7D0" w:rsidR="00BC6818" w:rsidRPr="00732D60" w:rsidRDefault="00BC6818" w:rsidP="00BC6818">
            <w:pPr>
              <w:spacing w:line="240" w:lineRule="auto"/>
              <w:jc w:val="center"/>
              <w:rPr>
                <w:bCs/>
                <w:sz w:val="20"/>
                <w:szCs w:val="20"/>
                <w:highlight w:val="yellow"/>
              </w:rPr>
            </w:pPr>
            <w:r w:rsidRPr="00610FF9">
              <w:rPr>
                <w:bCs/>
                <w:sz w:val="20"/>
                <w:szCs w:val="20"/>
              </w:rPr>
              <w:t>29/01/2024</w:t>
            </w:r>
          </w:p>
        </w:tc>
        <w:tc>
          <w:tcPr>
            <w:tcW w:w="2126" w:type="dxa"/>
            <w:vMerge/>
            <w:shd w:val="clear" w:color="auto" w:fill="auto"/>
            <w:vAlign w:val="center"/>
          </w:tcPr>
          <w:p w14:paraId="7A2FED90" w14:textId="77777777" w:rsidR="00BC6818" w:rsidRDefault="00BC6818" w:rsidP="00BC6818">
            <w:pPr>
              <w:spacing w:line="240" w:lineRule="auto"/>
              <w:jc w:val="center"/>
              <w:rPr>
                <w:bCs/>
                <w:sz w:val="20"/>
                <w:szCs w:val="20"/>
              </w:rPr>
            </w:pPr>
          </w:p>
        </w:tc>
        <w:tc>
          <w:tcPr>
            <w:tcW w:w="6100" w:type="dxa"/>
            <w:shd w:val="clear" w:color="auto" w:fill="auto"/>
            <w:vAlign w:val="center"/>
          </w:tcPr>
          <w:p w14:paraId="1BB9B310" w14:textId="0A293574" w:rsidR="00BC6818" w:rsidRPr="00FC73ED" w:rsidRDefault="00BC6818" w:rsidP="00BC6818">
            <w:pPr>
              <w:spacing w:line="240" w:lineRule="auto"/>
              <w:jc w:val="center"/>
              <w:rPr>
                <w:bCs/>
                <w:sz w:val="20"/>
                <w:szCs w:val="20"/>
              </w:rPr>
            </w:pPr>
            <w:r w:rsidRPr="004D7358">
              <w:rPr>
                <w:sz w:val="20"/>
                <w:szCs w:val="20"/>
              </w:rPr>
              <w:t xml:space="preserve">Amministratore Unico di </w:t>
            </w:r>
            <w:r>
              <w:rPr>
                <w:sz w:val="20"/>
                <w:szCs w:val="20"/>
              </w:rPr>
              <w:t>Lunigiana</w:t>
            </w:r>
            <w:r w:rsidRPr="004D7358">
              <w:rPr>
                <w:sz w:val="20"/>
                <w:szCs w:val="20"/>
              </w:rPr>
              <w:t xml:space="preserve"> Ambiente S.</w:t>
            </w:r>
            <w:r>
              <w:rPr>
                <w:sz w:val="20"/>
                <w:szCs w:val="20"/>
              </w:rPr>
              <w:t>r.l.</w:t>
            </w:r>
          </w:p>
        </w:tc>
      </w:tr>
      <w:tr w:rsidR="00BC6818" w:rsidRPr="00FC73ED" w14:paraId="1CBC765D" w14:textId="77777777" w:rsidTr="008E0589">
        <w:trPr>
          <w:trHeight w:val="285"/>
          <w:jc w:val="center"/>
        </w:trPr>
        <w:tc>
          <w:tcPr>
            <w:tcW w:w="1134" w:type="dxa"/>
            <w:vMerge/>
            <w:shd w:val="clear" w:color="auto" w:fill="auto"/>
            <w:vAlign w:val="center"/>
          </w:tcPr>
          <w:p w14:paraId="64D03E74" w14:textId="77777777" w:rsidR="00BC6818" w:rsidRPr="00FC73ED" w:rsidRDefault="00BC6818" w:rsidP="00BC6818">
            <w:pPr>
              <w:spacing w:line="240" w:lineRule="auto"/>
              <w:jc w:val="center"/>
              <w:rPr>
                <w:bCs/>
                <w:sz w:val="20"/>
                <w:szCs w:val="20"/>
              </w:rPr>
            </w:pPr>
          </w:p>
        </w:tc>
        <w:tc>
          <w:tcPr>
            <w:tcW w:w="1838" w:type="dxa"/>
            <w:shd w:val="clear" w:color="auto" w:fill="auto"/>
            <w:vAlign w:val="center"/>
          </w:tcPr>
          <w:p w14:paraId="23F8D850" w14:textId="780425F4" w:rsidR="00BC6818" w:rsidRPr="00732D60" w:rsidRDefault="00D82E15" w:rsidP="00BC6818">
            <w:pPr>
              <w:spacing w:line="240" w:lineRule="auto"/>
              <w:jc w:val="center"/>
              <w:rPr>
                <w:bCs/>
                <w:sz w:val="20"/>
                <w:szCs w:val="20"/>
                <w:highlight w:val="yellow"/>
              </w:rPr>
            </w:pPr>
            <w:r>
              <w:rPr>
                <w:bCs/>
                <w:sz w:val="20"/>
                <w:szCs w:val="20"/>
              </w:rPr>
              <w:t>31</w:t>
            </w:r>
            <w:r w:rsidR="00BC6818" w:rsidRPr="00DA1BB2">
              <w:rPr>
                <w:bCs/>
                <w:sz w:val="20"/>
                <w:szCs w:val="20"/>
              </w:rPr>
              <w:t>/01/2024</w:t>
            </w:r>
          </w:p>
        </w:tc>
        <w:tc>
          <w:tcPr>
            <w:tcW w:w="2126" w:type="dxa"/>
            <w:vMerge/>
            <w:shd w:val="clear" w:color="auto" w:fill="auto"/>
            <w:vAlign w:val="center"/>
          </w:tcPr>
          <w:p w14:paraId="1C8F3C52" w14:textId="77777777" w:rsidR="00BC6818" w:rsidRDefault="00BC6818" w:rsidP="00BC6818">
            <w:pPr>
              <w:spacing w:line="240" w:lineRule="auto"/>
              <w:jc w:val="center"/>
              <w:rPr>
                <w:bCs/>
                <w:sz w:val="20"/>
                <w:szCs w:val="20"/>
              </w:rPr>
            </w:pPr>
          </w:p>
        </w:tc>
        <w:tc>
          <w:tcPr>
            <w:tcW w:w="6100" w:type="dxa"/>
            <w:shd w:val="clear" w:color="auto" w:fill="auto"/>
            <w:vAlign w:val="center"/>
          </w:tcPr>
          <w:p w14:paraId="3E09E5AA" w14:textId="632DA134" w:rsidR="00BC6818" w:rsidRPr="00FC73ED" w:rsidRDefault="00BC6818" w:rsidP="00BC6818">
            <w:pPr>
              <w:spacing w:line="240" w:lineRule="auto"/>
              <w:jc w:val="center"/>
              <w:rPr>
                <w:bCs/>
                <w:sz w:val="20"/>
                <w:szCs w:val="20"/>
              </w:rPr>
            </w:pPr>
            <w:r>
              <w:rPr>
                <w:bCs/>
                <w:sz w:val="20"/>
                <w:szCs w:val="20"/>
              </w:rPr>
              <w:t>Amministratore Unico di GEA S.r.l.</w:t>
            </w:r>
          </w:p>
        </w:tc>
      </w:tr>
    </w:tbl>
    <w:p w14:paraId="285D4AF0" w14:textId="26F7289A" w:rsidR="000A15FF" w:rsidRPr="001425B4" w:rsidRDefault="000A15FF" w:rsidP="00B27C0D">
      <w:pPr>
        <w:spacing w:line="240" w:lineRule="auto"/>
        <w:rPr>
          <w:b/>
          <w:sz w:val="2"/>
          <w:szCs w:val="2"/>
        </w:rPr>
      </w:pPr>
    </w:p>
    <w:p w14:paraId="3433776B" w14:textId="7DF406DE" w:rsidR="00EB7461" w:rsidRDefault="00EB7461" w:rsidP="003370A6">
      <w:pPr>
        <w:spacing w:line="240" w:lineRule="auto"/>
        <w:rPr>
          <w:b/>
          <w:szCs w:val="16"/>
        </w:rPr>
      </w:pPr>
      <w:r>
        <w:rPr>
          <w:b/>
          <w:szCs w:val="16"/>
        </w:rPr>
        <w:br w:type="page"/>
      </w:r>
    </w:p>
    <w:p w14:paraId="15B85E2C" w14:textId="77777777" w:rsidR="005F4DB3" w:rsidRDefault="005F4DB3" w:rsidP="003370A6">
      <w:pPr>
        <w:spacing w:line="240" w:lineRule="auto"/>
        <w:rPr>
          <w:b/>
          <w:szCs w:val="16"/>
        </w:rPr>
      </w:pPr>
    </w:p>
    <w:sdt>
      <w:sdtPr>
        <w:rPr>
          <w:rFonts w:ascii="Times New Roman" w:eastAsiaTheme="minorHAnsi" w:hAnsi="Times New Roman" w:cstheme="minorBidi"/>
          <w:sz w:val="24"/>
          <w:szCs w:val="22"/>
          <w:lang w:eastAsia="en-US"/>
        </w:rPr>
        <w:id w:val="-1604410102"/>
        <w:docPartObj>
          <w:docPartGallery w:val="Table of Contents"/>
          <w:docPartUnique/>
        </w:docPartObj>
      </w:sdtPr>
      <w:sdtEndPr>
        <w:rPr>
          <w:b/>
          <w:bCs/>
        </w:rPr>
      </w:sdtEndPr>
      <w:sdtContent>
        <w:p w14:paraId="70F35921" w14:textId="3167AA55" w:rsidR="005F4DB3" w:rsidRDefault="003370A6">
          <w:pPr>
            <w:pStyle w:val="Titolosommario"/>
            <w:rPr>
              <w:rFonts w:ascii="Times New Roman" w:hAnsi="Times New Roman" w:cs="Times New Roman"/>
              <w:b/>
              <w:bCs/>
            </w:rPr>
          </w:pPr>
          <w:r>
            <w:rPr>
              <w:rFonts w:ascii="Times New Roman" w:hAnsi="Times New Roman" w:cs="Times New Roman"/>
              <w:b/>
              <w:bCs/>
            </w:rPr>
            <w:t>INDICE</w:t>
          </w:r>
        </w:p>
        <w:p w14:paraId="70FE4409" w14:textId="77777777" w:rsidR="007825F9" w:rsidRPr="007825F9" w:rsidRDefault="007825F9" w:rsidP="007825F9">
          <w:pPr>
            <w:rPr>
              <w:lang w:eastAsia="it-IT"/>
            </w:rPr>
          </w:pPr>
        </w:p>
        <w:p w14:paraId="3EBAE5A3" w14:textId="7DD8CBE4" w:rsidR="002B78D8" w:rsidRDefault="005F4DB3">
          <w:pPr>
            <w:pStyle w:val="Sommario1"/>
            <w:tabs>
              <w:tab w:val="right" w:leader="dot" w:pos="9628"/>
            </w:tabs>
            <w:rPr>
              <w:rFonts w:asciiTheme="minorHAnsi" w:eastAsiaTheme="minorEastAsia" w:hAnsiTheme="minorHAnsi"/>
              <w:noProof/>
              <w:kern w:val="2"/>
              <w:sz w:val="22"/>
              <w:lang w:eastAsia="it-IT"/>
              <w14:ligatures w14:val="standardContextual"/>
            </w:rPr>
          </w:pPr>
          <w:r>
            <w:fldChar w:fldCharType="begin"/>
          </w:r>
          <w:r>
            <w:instrText xml:space="preserve"> TOC \o "1-3" \h \z \u </w:instrText>
          </w:r>
          <w:r>
            <w:fldChar w:fldCharType="separate"/>
          </w:r>
          <w:hyperlink w:anchor="_Toc156660338" w:history="1">
            <w:r w:rsidR="002B78D8" w:rsidRPr="003E5671">
              <w:rPr>
                <w:rStyle w:val="Collegamentoipertestuale"/>
                <w:noProof/>
              </w:rPr>
              <w:t>1. Comprendere l’organizzazione e il suo contesto</w:t>
            </w:r>
            <w:r w:rsidR="002B78D8">
              <w:rPr>
                <w:noProof/>
                <w:webHidden/>
              </w:rPr>
              <w:tab/>
            </w:r>
            <w:r w:rsidR="002B78D8">
              <w:rPr>
                <w:noProof/>
                <w:webHidden/>
              </w:rPr>
              <w:fldChar w:fldCharType="begin"/>
            </w:r>
            <w:r w:rsidR="002B78D8">
              <w:rPr>
                <w:noProof/>
                <w:webHidden/>
              </w:rPr>
              <w:instrText xml:space="preserve"> PAGEREF _Toc156660338 \h </w:instrText>
            </w:r>
            <w:r w:rsidR="002B78D8">
              <w:rPr>
                <w:noProof/>
                <w:webHidden/>
              </w:rPr>
            </w:r>
            <w:r w:rsidR="002B78D8">
              <w:rPr>
                <w:noProof/>
                <w:webHidden/>
              </w:rPr>
              <w:fldChar w:fldCharType="separate"/>
            </w:r>
            <w:r w:rsidR="002B78D8">
              <w:rPr>
                <w:noProof/>
                <w:webHidden/>
              </w:rPr>
              <w:t>4</w:t>
            </w:r>
            <w:r w:rsidR="002B78D8">
              <w:rPr>
                <w:noProof/>
                <w:webHidden/>
              </w:rPr>
              <w:fldChar w:fldCharType="end"/>
            </w:r>
          </w:hyperlink>
        </w:p>
        <w:p w14:paraId="23087AC1" w14:textId="0C447871" w:rsidR="002B78D8" w:rsidRDefault="00194468">
          <w:pPr>
            <w:pStyle w:val="Sommario2"/>
            <w:tabs>
              <w:tab w:val="right" w:leader="dot" w:pos="9628"/>
            </w:tabs>
            <w:rPr>
              <w:rFonts w:asciiTheme="minorHAnsi" w:eastAsiaTheme="minorEastAsia" w:hAnsiTheme="minorHAnsi"/>
              <w:noProof/>
              <w:kern w:val="2"/>
              <w:sz w:val="22"/>
              <w:lang w:eastAsia="it-IT"/>
              <w14:ligatures w14:val="standardContextual"/>
            </w:rPr>
          </w:pPr>
          <w:hyperlink w:anchor="_Toc156660339" w:history="1">
            <w:r w:rsidR="002B78D8" w:rsidRPr="003E5671">
              <w:rPr>
                <w:rStyle w:val="Collegamentoipertestuale"/>
                <w:noProof/>
              </w:rPr>
              <w:t>1.1. Luoghi e settori in cui opera il Gruppo RetiAmbiente</w:t>
            </w:r>
            <w:r w:rsidR="002B78D8">
              <w:rPr>
                <w:noProof/>
                <w:webHidden/>
              </w:rPr>
              <w:tab/>
            </w:r>
            <w:r w:rsidR="002B78D8">
              <w:rPr>
                <w:noProof/>
                <w:webHidden/>
              </w:rPr>
              <w:fldChar w:fldCharType="begin"/>
            </w:r>
            <w:r w:rsidR="002B78D8">
              <w:rPr>
                <w:noProof/>
                <w:webHidden/>
              </w:rPr>
              <w:instrText xml:space="preserve"> PAGEREF _Toc156660339 \h </w:instrText>
            </w:r>
            <w:r w:rsidR="002B78D8">
              <w:rPr>
                <w:noProof/>
                <w:webHidden/>
              </w:rPr>
            </w:r>
            <w:r w:rsidR="002B78D8">
              <w:rPr>
                <w:noProof/>
                <w:webHidden/>
              </w:rPr>
              <w:fldChar w:fldCharType="separate"/>
            </w:r>
            <w:r w:rsidR="002B78D8">
              <w:rPr>
                <w:noProof/>
                <w:webHidden/>
              </w:rPr>
              <w:t>4</w:t>
            </w:r>
            <w:r w:rsidR="002B78D8">
              <w:rPr>
                <w:noProof/>
                <w:webHidden/>
              </w:rPr>
              <w:fldChar w:fldCharType="end"/>
            </w:r>
          </w:hyperlink>
        </w:p>
        <w:p w14:paraId="1759FE1B" w14:textId="17D1F9DB" w:rsidR="002B78D8" w:rsidRDefault="00194468">
          <w:pPr>
            <w:pStyle w:val="Sommario2"/>
            <w:tabs>
              <w:tab w:val="right" w:leader="dot" w:pos="9628"/>
            </w:tabs>
            <w:rPr>
              <w:rFonts w:asciiTheme="minorHAnsi" w:eastAsiaTheme="minorEastAsia" w:hAnsiTheme="minorHAnsi"/>
              <w:noProof/>
              <w:kern w:val="2"/>
              <w:sz w:val="22"/>
              <w:lang w:eastAsia="it-IT"/>
              <w14:ligatures w14:val="standardContextual"/>
            </w:rPr>
          </w:pPr>
          <w:hyperlink w:anchor="_Toc156660340" w:history="1">
            <w:r w:rsidR="002B78D8" w:rsidRPr="003E5671">
              <w:rPr>
                <w:rStyle w:val="Collegamentoipertestuale"/>
                <w:noProof/>
              </w:rPr>
              <w:t>1.2. Attività svolte dal Gruppo RetiAmbiente, soci in affari e interazioni con pubblici ufficiali</w:t>
            </w:r>
            <w:r w:rsidR="002B78D8">
              <w:rPr>
                <w:noProof/>
                <w:webHidden/>
              </w:rPr>
              <w:tab/>
            </w:r>
            <w:r w:rsidR="002B78D8">
              <w:rPr>
                <w:noProof/>
                <w:webHidden/>
              </w:rPr>
              <w:fldChar w:fldCharType="begin"/>
            </w:r>
            <w:r w:rsidR="002B78D8">
              <w:rPr>
                <w:noProof/>
                <w:webHidden/>
              </w:rPr>
              <w:instrText xml:space="preserve"> PAGEREF _Toc156660340 \h </w:instrText>
            </w:r>
            <w:r w:rsidR="002B78D8">
              <w:rPr>
                <w:noProof/>
                <w:webHidden/>
              </w:rPr>
            </w:r>
            <w:r w:rsidR="002B78D8">
              <w:rPr>
                <w:noProof/>
                <w:webHidden/>
              </w:rPr>
              <w:fldChar w:fldCharType="separate"/>
            </w:r>
            <w:r w:rsidR="002B78D8">
              <w:rPr>
                <w:noProof/>
                <w:webHidden/>
              </w:rPr>
              <w:t>11</w:t>
            </w:r>
            <w:r w:rsidR="002B78D8">
              <w:rPr>
                <w:noProof/>
                <w:webHidden/>
              </w:rPr>
              <w:fldChar w:fldCharType="end"/>
            </w:r>
          </w:hyperlink>
        </w:p>
        <w:p w14:paraId="727609ED" w14:textId="00EF33F8" w:rsidR="002B78D8" w:rsidRDefault="00194468">
          <w:pPr>
            <w:pStyle w:val="Sommario2"/>
            <w:tabs>
              <w:tab w:val="right" w:leader="dot" w:pos="9628"/>
            </w:tabs>
            <w:rPr>
              <w:rFonts w:asciiTheme="minorHAnsi" w:eastAsiaTheme="minorEastAsia" w:hAnsiTheme="minorHAnsi"/>
              <w:noProof/>
              <w:kern w:val="2"/>
              <w:sz w:val="22"/>
              <w:lang w:eastAsia="it-IT"/>
              <w14:ligatures w14:val="standardContextual"/>
            </w:rPr>
          </w:pPr>
          <w:hyperlink w:anchor="_Toc156660341" w:history="1">
            <w:r w:rsidR="002B78D8" w:rsidRPr="003E5671">
              <w:rPr>
                <w:rStyle w:val="Collegamentoipertestuale"/>
                <w:noProof/>
              </w:rPr>
              <w:t>1.3. Modello commerciale</w:t>
            </w:r>
            <w:r w:rsidR="002B78D8">
              <w:rPr>
                <w:noProof/>
                <w:webHidden/>
              </w:rPr>
              <w:tab/>
            </w:r>
            <w:r w:rsidR="002B78D8">
              <w:rPr>
                <w:noProof/>
                <w:webHidden/>
              </w:rPr>
              <w:fldChar w:fldCharType="begin"/>
            </w:r>
            <w:r w:rsidR="002B78D8">
              <w:rPr>
                <w:noProof/>
                <w:webHidden/>
              </w:rPr>
              <w:instrText xml:space="preserve"> PAGEREF _Toc156660341 \h </w:instrText>
            </w:r>
            <w:r w:rsidR="002B78D8">
              <w:rPr>
                <w:noProof/>
                <w:webHidden/>
              </w:rPr>
            </w:r>
            <w:r w:rsidR="002B78D8">
              <w:rPr>
                <w:noProof/>
                <w:webHidden/>
              </w:rPr>
              <w:fldChar w:fldCharType="separate"/>
            </w:r>
            <w:r w:rsidR="002B78D8">
              <w:rPr>
                <w:noProof/>
                <w:webHidden/>
              </w:rPr>
              <w:t>13</w:t>
            </w:r>
            <w:r w:rsidR="002B78D8">
              <w:rPr>
                <w:noProof/>
                <w:webHidden/>
              </w:rPr>
              <w:fldChar w:fldCharType="end"/>
            </w:r>
          </w:hyperlink>
        </w:p>
        <w:p w14:paraId="3567CB2D" w14:textId="3788A01B" w:rsidR="002B78D8" w:rsidRDefault="00194468">
          <w:pPr>
            <w:pStyle w:val="Sommario2"/>
            <w:tabs>
              <w:tab w:val="right" w:leader="dot" w:pos="9628"/>
            </w:tabs>
            <w:rPr>
              <w:rFonts w:asciiTheme="minorHAnsi" w:eastAsiaTheme="minorEastAsia" w:hAnsiTheme="minorHAnsi"/>
              <w:noProof/>
              <w:kern w:val="2"/>
              <w:sz w:val="22"/>
              <w:lang w:eastAsia="it-IT"/>
              <w14:ligatures w14:val="standardContextual"/>
            </w:rPr>
          </w:pPr>
          <w:hyperlink w:anchor="_Toc156660342" w:history="1">
            <w:r w:rsidR="002B78D8" w:rsidRPr="003E5671">
              <w:rPr>
                <w:rStyle w:val="Collegamentoipertestuale"/>
                <w:noProof/>
              </w:rPr>
              <w:t>1.4. Enti controllanti e controllati</w:t>
            </w:r>
            <w:r w:rsidR="002B78D8">
              <w:rPr>
                <w:noProof/>
                <w:webHidden/>
              </w:rPr>
              <w:tab/>
            </w:r>
            <w:r w:rsidR="002B78D8">
              <w:rPr>
                <w:noProof/>
                <w:webHidden/>
              </w:rPr>
              <w:fldChar w:fldCharType="begin"/>
            </w:r>
            <w:r w:rsidR="002B78D8">
              <w:rPr>
                <w:noProof/>
                <w:webHidden/>
              </w:rPr>
              <w:instrText xml:space="preserve"> PAGEREF _Toc156660342 \h </w:instrText>
            </w:r>
            <w:r w:rsidR="002B78D8">
              <w:rPr>
                <w:noProof/>
                <w:webHidden/>
              </w:rPr>
            </w:r>
            <w:r w:rsidR="002B78D8">
              <w:rPr>
                <w:noProof/>
                <w:webHidden/>
              </w:rPr>
              <w:fldChar w:fldCharType="separate"/>
            </w:r>
            <w:r w:rsidR="002B78D8">
              <w:rPr>
                <w:noProof/>
                <w:webHidden/>
              </w:rPr>
              <w:t>13</w:t>
            </w:r>
            <w:r w:rsidR="002B78D8">
              <w:rPr>
                <w:noProof/>
                <w:webHidden/>
              </w:rPr>
              <w:fldChar w:fldCharType="end"/>
            </w:r>
          </w:hyperlink>
        </w:p>
        <w:p w14:paraId="69EA3D69" w14:textId="37E17D71" w:rsidR="002B78D8" w:rsidRDefault="00194468">
          <w:pPr>
            <w:pStyle w:val="Sommario2"/>
            <w:tabs>
              <w:tab w:val="right" w:leader="dot" w:pos="9628"/>
            </w:tabs>
            <w:rPr>
              <w:rFonts w:asciiTheme="minorHAnsi" w:eastAsiaTheme="minorEastAsia" w:hAnsiTheme="minorHAnsi"/>
              <w:noProof/>
              <w:kern w:val="2"/>
              <w:sz w:val="22"/>
              <w:lang w:eastAsia="it-IT"/>
              <w14:ligatures w14:val="standardContextual"/>
            </w:rPr>
          </w:pPr>
          <w:hyperlink w:anchor="_Toc156660343" w:history="1">
            <w:r w:rsidR="002B78D8" w:rsidRPr="003E5671">
              <w:rPr>
                <w:rStyle w:val="Collegamentoipertestuale"/>
                <w:noProof/>
              </w:rPr>
              <w:t>1.5. Obblighi e adempimenti di legge, normativi e contrattuali</w:t>
            </w:r>
            <w:r w:rsidR="002B78D8">
              <w:rPr>
                <w:noProof/>
                <w:webHidden/>
              </w:rPr>
              <w:tab/>
            </w:r>
            <w:r w:rsidR="002B78D8">
              <w:rPr>
                <w:noProof/>
                <w:webHidden/>
              </w:rPr>
              <w:fldChar w:fldCharType="begin"/>
            </w:r>
            <w:r w:rsidR="002B78D8">
              <w:rPr>
                <w:noProof/>
                <w:webHidden/>
              </w:rPr>
              <w:instrText xml:space="preserve"> PAGEREF _Toc156660343 \h </w:instrText>
            </w:r>
            <w:r w:rsidR="002B78D8">
              <w:rPr>
                <w:noProof/>
                <w:webHidden/>
              </w:rPr>
            </w:r>
            <w:r w:rsidR="002B78D8">
              <w:rPr>
                <w:noProof/>
                <w:webHidden/>
              </w:rPr>
              <w:fldChar w:fldCharType="separate"/>
            </w:r>
            <w:r w:rsidR="002B78D8">
              <w:rPr>
                <w:noProof/>
                <w:webHidden/>
              </w:rPr>
              <w:t>14</w:t>
            </w:r>
            <w:r w:rsidR="002B78D8">
              <w:rPr>
                <w:noProof/>
                <w:webHidden/>
              </w:rPr>
              <w:fldChar w:fldCharType="end"/>
            </w:r>
          </w:hyperlink>
        </w:p>
        <w:p w14:paraId="5A42CA99" w14:textId="677C7801" w:rsidR="002B78D8" w:rsidRDefault="00194468">
          <w:pPr>
            <w:pStyle w:val="Sommario2"/>
            <w:tabs>
              <w:tab w:val="right" w:leader="dot" w:pos="9628"/>
            </w:tabs>
            <w:rPr>
              <w:rFonts w:asciiTheme="minorHAnsi" w:eastAsiaTheme="minorEastAsia" w:hAnsiTheme="minorHAnsi"/>
              <w:noProof/>
              <w:kern w:val="2"/>
              <w:sz w:val="22"/>
              <w:lang w:eastAsia="it-IT"/>
              <w14:ligatures w14:val="standardContextual"/>
            </w:rPr>
          </w:pPr>
          <w:hyperlink w:anchor="_Toc156660344" w:history="1">
            <w:r w:rsidR="002B78D8" w:rsidRPr="003E5671">
              <w:rPr>
                <w:rStyle w:val="Collegamentoipertestuale"/>
                <w:noProof/>
              </w:rPr>
              <w:t>1.6. Dimensioni, struttura e autorità decisionale delegata nel Gruppo RetiAmbiente</w:t>
            </w:r>
            <w:r w:rsidR="002B78D8">
              <w:rPr>
                <w:noProof/>
                <w:webHidden/>
              </w:rPr>
              <w:tab/>
            </w:r>
            <w:r w:rsidR="002B78D8">
              <w:rPr>
                <w:noProof/>
                <w:webHidden/>
              </w:rPr>
              <w:fldChar w:fldCharType="begin"/>
            </w:r>
            <w:r w:rsidR="002B78D8">
              <w:rPr>
                <w:noProof/>
                <w:webHidden/>
              </w:rPr>
              <w:instrText xml:space="preserve"> PAGEREF _Toc156660344 \h </w:instrText>
            </w:r>
            <w:r w:rsidR="002B78D8">
              <w:rPr>
                <w:noProof/>
                <w:webHidden/>
              </w:rPr>
            </w:r>
            <w:r w:rsidR="002B78D8">
              <w:rPr>
                <w:noProof/>
                <w:webHidden/>
              </w:rPr>
              <w:fldChar w:fldCharType="separate"/>
            </w:r>
            <w:r w:rsidR="002B78D8">
              <w:rPr>
                <w:noProof/>
                <w:webHidden/>
              </w:rPr>
              <w:t>15</w:t>
            </w:r>
            <w:r w:rsidR="002B78D8">
              <w:rPr>
                <w:noProof/>
                <w:webHidden/>
              </w:rPr>
              <w:fldChar w:fldCharType="end"/>
            </w:r>
          </w:hyperlink>
        </w:p>
        <w:p w14:paraId="4F63272C" w14:textId="2D392E2D" w:rsidR="002B78D8" w:rsidRDefault="00194468">
          <w:pPr>
            <w:pStyle w:val="Sommario1"/>
            <w:tabs>
              <w:tab w:val="right" w:leader="dot" w:pos="9628"/>
            </w:tabs>
            <w:rPr>
              <w:rFonts w:asciiTheme="minorHAnsi" w:eastAsiaTheme="minorEastAsia" w:hAnsiTheme="minorHAnsi"/>
              <w:noProof/>
              <w:kern w:val="2"/>
              <w:sz w:val="22"/>
              <w:lang w:eastAsia="it-IT"/>
              <w14:ligatures w14:val="standardContextual"/>
            </w:rPr>
          </w:pPr>
          <w:hyperlink w:anchor="_Toc156660345" w:history="1">
            <w:r w:rsidR="002B78D8" w:rsidRPr="003E5671">
              <w:rPr>
                <w:rStyle w:val="Collegamentoipertestuale"/>
                <w:noProof/>
              </w:rPr>
              <w:t>2. Comprendere le esigenze e le aspettative degli stakeholder</w:t>
            </w:r>
            <w:r w:rsidR="002B78D8">
              <w:rPr>
                <w:noProof/>
                <w:webHidden/>
              </w:rPr>
              <w:tab/>
            </w:r>
            <w:r w:rsidR="002B78D8">
              <w:rPr>
                <w:noProof/>
                <w:webHidden/>
              </w:rPr>
              <w:fldChar w:fldCharType="begin"/>
            </w:r>
            <w:r w:rsidR="002B78D8">
              <w:rPr>
                <w:noProof/>
                <w:webHidden/>
              </w:rPr>
              <w:instrText xml:space="preserve"> PAGEREF _Toc156660345 \h </w:instrText>
            </w:r>
            <w:r w:rsidR="002B78D8">
              <w:rPr>
                <w:noProof/>
                <w:webHidden/>
              </w:rPr>
            </w:r>
            <w:r w:rsidR="002B78D8">
              <w:rPr>
                <w:noProof/>
                <w:webHidden/>
              </w:rPr>
              <w:fldChar w:fldCharType="separate"/>
            </w:r>
            <w:r w:rsidR="002B78D8">
              <w:rPr>
                <w:noProof/>
                <w:webHidden/>
              </w:rPr>
              <w:t>17</w:t>
            </w:r>
            <w:r w:rsidR="002B78D8">
              <w:rPr>
                <w:noProof/>
                <w:webHidden/>
              </w:rPr>
              <w:fldChar w:fldCharType="end"/>
            </w:r>
          </w:hyperlink>
        </w:p>
        <w:p w14:paraId="42AF4B03" w14:textId="29E2A9CA" w:rsidR="005F4DB3" w:rsidRDefault="005F4DB3">
          <w:r>
            <w:rPr>
              <w:b/>
              <w:bCs/>
            </w:rPr>
            <w:fldChar w:fldCharType="end"/>
          </w:r>
        </w:p>
      </w:sdtContent>
    </w:sdt>
    <w:p w14:paraId="0DC4D9A7" w14:textId="53DE9909" w:rsidR="005F4DB3" w:rsidRDefault="005F4DB3" w:rsidP="00590345">
      <w:pPr>
        <w:spacing w:line="240" w:lineRule="auto"/>
        <w:rPr>
          <w:b/>
          <w:szCs w:val="16"/>
        </w:rPr>
      </w:pPr>
    </w:p>
    <w:p w14:paraId="1DA1BF0B" w14:textId="1E4B2369" w:rsidR="005F4DB3" w:rsidRDefault="005F4DB3" w:rsidP="008453D6">
      <w:pPr>
        <w:spacing w:line="240" w:lineRule="auto"/>
        <w:jc w:val="center"/>
        <w:rPr>
          <w:b/>
          <w:szCs w:val="16"/>
        </w:rPr>
      </w:pPr>
      <w:r>
        <w:rPr>
          <w:b/>
          <w:szCs w:val="16"/>
        </w:rPr>
        <w:br w:type="page"/>
      </w:r>
    </w:p>
    <w:p w14:paraId="0258E1D0" w14:textId="13BA9539" w:rsidR="00EB7461" w:rsidRDefault="00EB7461" w:rsidP="00EB7461">
      <w:pPr>
        <w:pStyle w:val="Titolo1"/>
      </w:pPr>
      <w:bookmarkStart w:id="2" w:name="_Toc129262346"/>
      <w:bookmarkStart w:id="3" w:name="_Toc156660338"/>
      <w:r>
        <w:lastRenderedPageBreak/>
        <w:t>1. Comprendere l’organizzazione e il suo contesto</w:t>
      </w:r>
      <w:bookmarkEnd w:id="2"/>
      <w:bookmarkEnd w:id="3"/>
    </w:p>
    <w:p w14:paraId="26DB8DF4" w14:textId="7AF792A4" w:rsidR="00EB7461" w:rsidRDefault="00EB7461" w:rsidP="00EB7461">
      <w:r w:rsidRPr="00A56F9E">
        <w:t xml:space="preserve">L’analisi del contesto svolta </w:t>
      </w:r>
      <w:r>
        <w:t xml:space="preserve">dal Gruppo </w:t>
      </w:r>
      <w:r w:rsidRPr="00A56F9E">
        <w:t>RetiAmbiente ha la finalità di individuare gli elementi interni ed esterni che influenzano</w:t>
      </w:r>
      <w:r>
        <w:t xml:space="preserve"> la pianificazione del Sistema di gestione per la prevenzione della corruzione e</w:t>
      </w:r>
      <w:r w:rsidRPr="00A56F9E">
        <w:t xml:space="preserve"> la capacità </w:t>
      </w:r>
      <w:r>
        <w:t>del Gruppo</w:t>
      </w:r>
      <w:r w:rsidRPr="00A56F9E">
        <w:t xml:space="preserve"> di raggiungere gli obiettivi del</w:t>
      </w:r>
      <w:r>
        <w:t xml:space="preserve"> Sistema stesso.</w:t>
      </w:r>
    </w:p>
    <w:p w14:paraId="0D30EFF0" w14:textId="22EFC8B9" w:rsidR="001F5FBE" w:rsidRDefault="001F5FBE" w:rsidP="00EB7461">
      <w:r>
        <w:t xml:space="preserve">Il Gruppo RetiAmbiente è composto dalla Capogruppo, RetiAmbiente S.p.A., e dalle Società Operative Locali (SOL) da quest’ultima controllate. </w:t>
      </w:r>
    </w:p>
    <w:p w14:paraId="444AEF0F" w14:textId="7435F5A0" w:rsidR="00223060" w:rsidRDefault="00223060" w:rsidP="00EB7461">
      <w:r>
        <w:t>Si riporta nel seguito l’organigramma del Gruppo RetiAmbiente.</w:t>
      </w:r>
    </w:p>
    <w:p w14:paraId="532D7F56" w14:textId="77777777" w:rsidR="00223060" w:rsidRDefault="00223060" w:rsidP="00EB7461"/>
    <w:p w14:paraId="6A8C0777" w14:textId="44A40D1B" w:rsidR="00223060" w:rsidRDefault="00640B59" w:rsidP="00EB7461">
      <w:r>
        <w:rPr>
          <w:noProof/>
        </w:rPr>
        <w:drawing>
          <wp:inline distT="0" distB="0" distL="0" distR="0" wp14:anchorId="649799B3" wp14:editId="433A1804">
            <wp:extent cx="6120130" cy="2163445"/>
            <wp:effectExtent l="0" t="0" r="0" b="8255"/>
            <wp:docPr id="6741767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76773" name="Immagine 674176773"/>
                    <pic:cNvPicPr/>
                  </pic:nvPicPr>
                  <pic:blipFill>
                    <a:blip r:embed="rId10">
                      <a:extLst>
                        <a:ext uri="{28A0092B-C50C-407E-A947-70E740481C1C}">
                          <a14:useLocalDpi xmlns:a14="http://schemas.microsoft.com/office/drawing/2010/main" val="0"/>
                        </a:ext>
                      </a:extLst>
                    </a:blip>
                    <a:stretch>
                      <a:fillRect/>
                    </a:stretch>
                  </pic:blipFill>
                  <pic:spPr>
                    <a:xfrm>
                      <a:off x="0" y="0"/>
                      <a:ext cx="6120130" cy="2163445"/>
                    </a:xfrm>
                    <a:prstGeom prst="rect">
                      <a:avLst/>
                    </a:prstGeom>
                  </pic:spPr>
                </pic:pic>
              </a:graphicData>
            </a:graphic>
          </wp:inline>
        </w:drawing>
      </w:r>
    </w:p>
    <w:p w14:paraId="4C0039E6" w14:textId="77777777" w:rsidR="003A4C23" w:rsidRDefault="003A4C23" w:rsidP="00EB7461"/>
    <w:p w14:paraId="1C35C649" w14:textId="685E3982" w:rsidR="00EB7461" w:rsidRPr="000E39AB" w:rsidRDefault="003A4C23" w:rsidP="003A4C23">
      <w:pPr>
        <w:pStyle w:val="Titolo2"/>
      </w:pPr>
      <w:bookmarkStart w:id="4" w:name="_Toc156660339"/>
      <w:r>
        <w:t xml:space="preserve">1.1. </w:t>
      </w:r>
      <w:r w:rsidR="00EB7461" w:rsidRPr="000E39AB">
        <w:t xml:space="preserve">Luoghi e settori in cui opera </w:t>
      </w:r>
      <w:r w:rsidR="00EB7461">
        <w:t>il Gruppo RetiAmbiente</w:t>
      </w:r>
      <w:bookmarkEnd w:id="4"/>
      <w:r w:rsidR="002E4FB7">
        <w:t xml:space="preserve"> </w:t>
      </w:r>
    </w:p>
    <w:p w14:paraId="317F7017" w14:textId="4D2AD5BE" w:rsidR="00895E49" w:rsidRDefault="00895E49" w:rsidP="00EB7461">
      <w:pPr>
        <w:rPr>
          <w:bCs/>
          <w:iCs/>
          <w:szCs w:val="24"/>
        </w:rPr>
      </w:pPr>
      <w:r w:rsidRPr="00895E49">
        <w:rPr>
          <w:bCs/>
          <w:iCs/>
          <w:szCs w:val="24"/>
        </w:rPr>
        <w:t xml:space="preserve">La disamina delle principali dinamiche territoriali o settoriali e influenze o pressioni esterne cui </w:t>
      </w:r>
      <w:r>
        <w:rPr>
          <w:bCs/>
          <w:iCs/>
          <w:szCs w:val="24"/>
        </w:rPr>
        <w:t xml:space="preserve">il Gruppo RetiAmbiente </w:t>
      </w:r>
      <w:r w:rsidRPr="00895E49">
        <w:rPr>
          <w:bCs/>
          <w:iCs/>
          <w:szCs w:val="24"/>
        </w:rPr>
        <w:t>può essere sottopost</w:t>
      </w:r>
      <w:r>
        <w:rPr>
          <w:bCs/>
          <w:iCs/>
          <w:szCs w:val="24"/>
        </w:rPr>
        <w:t>o</w:t>
      </w:r>
      <w:r w:rsidRPr="00895E49">
        <w:rPr>
          <w:bCs/>
          <w:iCs/>
          <w:szCs w:val="24"/>
        </w:rPr>
        <w:t xml:space="preserve"> costituisce un passaggio essenziale per valutare se, e in che misura, il contesto territoriale o settoriale incida sul rischio corruttivo e conseguentemente elaborare una strategia di gestione del rischio adeguata e puntuale.</w:t>
      </w:r>
    </w:p>
    <w:p w14:paraId="5604A9F9" w14:textId="452B844E" w:rsidR="00EB7461" w:rsidRPr="00171204" w:rsidRDefault="00EB7461" w:rsidP="00EB7461">
      <w:pPr>
        <w:rPr>
          <w:bCs/>
          <w:iCs/>
          <w:szCs w:val="24"/>
        </w:rPr>
      </w:pPr>
      <w:r w:rsidRPr="00171204">
        <w:rPr>
          <w:bCs/>
          <w:iCs/>
          <w:szCs w:val="24"/>
        </w:rPr>
        <w:t xml:space="preserve">RetiAmbiente S.p.A. è una società per azioni il cui capitale sociale è interamente detenuto dai Comuni facenti parte dell’ATO Toscana Costa. RetiAmbiente S.p.A. è la società capogruppo affidataria in </w:t>
      </w:r>
      <w:r w:rsidRPr="00171204">
        <w:rPr>
          <w:bCs/>
          <w:i/>
          <w:szCs w:val="24"/>
        </w:rPr>
        <w:t>house providing</w:t>
      </w:r>
      <w:r w:rsidRPr="00171204">
        <w:rPr>
          <w:bCs/>
          <w:iCs/>
          <w:szCs w:val="24"/>
        </w:rPr>
        <w:t xml:space="preserve"> del </w:t>
      </w:r>
      <w:r w:rsidRPr="001F5FBE">
        <w:rPr>
          <w:bCs/>
          <w:iCs/>
          <w:szCs w:val="24"/>
        </w:rPr>
        <w:t>ciclo integrato dei rifiuti</w:t>
      </w:r>
      <w:r w:rsidRPr="00171204">
        <w:rPr>
          <w:bCs/>
          <w:iCs/>
          <w:szCs w:val="24"/>
        </w:rPr>
        <w:t xml:space="preserve"> da parte dell’ente concedente (Autorità d’Ambito Toscana Costa). </w:t>
      </w:r>
    </w:p>
    <w:p w14:paraId="779F5F66" w14:textId="71276574" w:rsidR="00171204" w:rsidRPr="00171204" w:rsidRDefault="00171204" w:rsidP="00171204">
      <w:pPr>
        <w:rPr>
          <w:rFonts w:cs="Times New Roman"/>
          <w:bCs/>
          <w:iCs/>
          <w:szCs w:val="24"/>
        </w:rPr>
      </w:pPr>
      <w:r w:rsidRPr="00171204">
        <w:rPr>
          <w:rFonts w:cs="Times New Roman"/>
          <w:bCs/>
          <w:iCs/>
          <w:szCs w:val="24"/>
        </w:rPr>
        <w:t xml:space="preserve">RetiAmbiente S.p.A. detiene ad oggi l’intero capitale sociale di </w:t>
      </w:r>
      <w:r w:rsidR="003E3298">
        <w:rPr>
          <w:rFonts w:cs="Times New Roman"/>
          <w:bCs/>
          <w:iCs/>
          <w:szCs w:val="24"/>
        </w:rPr>
        <w:t>nove</w:t>
      </w:r>
      <w:r w:rsidRPr="00171204">
        <w:rPr>
          <w:rFonts w:cs="Times New Roman"/>
          <w:bCs/>
          <w:iCs/>
          <w:szCs w:val="24"/>
        </w:rPr>
        <w:t xml:space="preserve"> SOL (Società operative locali):</w:t>
      </w:r>
    </w:p>
    <w:p w14:paraId="47B7E0B9" w14:textId="77777777" w:rsidR="0025722E" w:rsidRDefault="00171204" w:rsidP="00171204">
      <w:pPr>
        <w:pStyle w:val="Paragrafoelenco"/>
        <w:numPr>
          <w:ilvl w:val="0"/>
          <w:numId w:val="30"/>
        </w:numPr>
        <w:rPr>
          <w:rFonts w:cs="Times New Roman"/>
          <w:bCs/>
          <w:iCs/>
          <w:szCs w:val="24"/>
        </w:rPr>
      </w:pPr>
      <w:r w:rsidRPr="0025722E">
        <w:rPr>
          <w:rFonts w:cs="Times New Roman"/>
          <w:bCs/>
          <w:iCs/>
          <w:szCs w:val="24"/>
        </w:rPr>
        <w:t>AAMPS S.p.A.</w:t>
      </w:r>
    </w:p>
    <w:p w14:paraId="6AC5C779" w14:textId="77777777" w:rsidR="0025722E" w:rsidRDefault="00171204" w:rsidP="00171204">
      <w:pPr>
        <w:pStyle w:val="Paragrafoelenco"/>
        <w:numPr>
          <w:ilvl w:val="0"/>
          <w:numId w:val="30"/>
        </w:numPr>
        <w:rPr>
          <w:rFonts w:cs="Times New Roman"/>
          <w:bCs/>
          <w:iCs/>
          <w:szCs w:val="24"/>
        </w:rPr>
      </w:pPr>
      <w:r w:rsidRPr="0025722E">
        <w:rPr>
          <w:rFonts w:cs="Times New Roman"/>
          <w:bCs/>
          <w:iCs/>
          <w:szCs w:val="24"/>
        </w:rPr>
        <w:t>Ersu S.p.A.</w:t>
      </w:r>
    </w:p>
    <w:p w14:paraId="3604F4A2" w14:textId="77777777" w:rsidR="0025722E" w:rsidRDefault="00171204" w:rsidP="00171204">
      <w:pPr>
        <w:pStyle w:val="Paragrafoelenco"/>
        <w:numPr>
          <w:ilvl w:val="0"/>
          <w:numId w:val="30"/>
        </w:numPr>
        <w:rPr>
          <w:rFonts w:cs="Times New Roman"/>
          <w:bCs/>
          <w:iCs/>
          <w:szCs w:val="24"/>
        </w:rPr>
      </w:pPr>
      <w:r w:rsidRPr="0025722E">
        <w:rPr>
          <w:rFonts w:cs="Times New Roman"/>
          <w:bCs/>
          <w:iCs/>
          <w:szCs w:val="24"/>
        </w:rPr>
        <w:t>Esa S.p.A.</w:t>
      </w:r>
    </w:p>
    <w:p w14:paraId="06ED235B" w14:textId="77777777" w:rsidR="0025722E" w:rsidRDefault="00171204" w:rsidP="00171204">
      <w:pPr>
        <w:pStyle w:val="Paragrafoelenco"/>
        <w:numPr>
          <w:ilvl w:val="0"/>
          <w:numId w:val="30"/>
        </w:numPr>
        <w:rPr>
          <w:rFonts w:cs="Times New Roman"/>
          <w:bCs/>
          <w:iCs/>
          <w:szCs w:val="24"/>
        </w:rPr>
      </w:pPr>
      <w:r w:rsidRPr="0025722E">
        <w:rPr>
          <w:rFonts w:cs="Times New Roman"/>
          <w:bCs/>
          <w:iCs/>
          <w:szCs w:val="24"/>
        </w:rPr>
        <w:lastRenderedPageBreak/>
        <w:t>Geofor S.p.A.</w:t>
      </w:r>
    </w:p>
    <w:p w14:paraId="625F9BEB" w14:textId="77777777" w:rsidR="0025722E" w:rsidRDefault="00171204" w:rsidP="00171204">
      <w:pPr>
        <w:pStyle w:val="Paragrafoelenco"/>
        <w:numPr>
          <w:ilvl w:val="0"/>
          <w:numId w:val="30"/>
        </w:numPr>
        <w:rPr>
          <w:rFonts w:cs="Times New Roman"/>
          <w:bCs/>
          <w:iCs/>
          <w:szCs w:val="24"/>
        </w:rPr>
      </w:pPr>
      <w:r w:rsidRPr="0025722E">
        <w:rPr>
          <w:rFonts w:cs="Times New Roman"/>
          <w:bCs/>
          <w:iCs/>
          <w:szCs w:val="24"/>
        </w:rPr>
        <w:t>Rea S.p.A.</w:t>
      </w:r>
    </w:p>
    <w:p w14:paraId="1E2A0833" w14:textId="77777777" w:rsidR="0025722E" w:rsidRDefault="00171204" w:rsidP="00171204">
      <w:pPr>
        <w:pStyle w:val="Paragrafoelenco"/>
        <w:numPr>
          <w:ilvl w:val="0"/>
          <w:numId w:val="30"/>
        </w:numPr>
        <w:rPr>
          <w:rFonts w:cs="Times New Roman"/>
          <w:bCs/>
          <w:iCs/>
          <w:szCs w:val="24"/>
        </w:rPr>
      </w:pPr>
      <w:r w:rsidRPr="0025722E">
        <w:rPr>
          <w:rFonts w:cs="Times New Roman"/>
          <w:bCs/>
          <w:iCs/>
          <w:szCs w:val="24"/>
        </w:rPr>
        <w:t>Sea Ambiente S.p.A.</w:t>
      </w:r>
    </w:p>
    <w:p w14:paraId="69534EE3" w14:textId="77777777" w:rsidR="0025722E" w:rsidRDefault="00171204" w:rsidP="00171204">
      <w:pPr>
        <w:pStyle w:val="Paragrafoelenco"/>
        <w:numPr>
          <w:ilvl w:val="0"/>
          <w:numId w:val="30"/>
        </w:numPr>
        <w:rPr>
          <w:rFonts w:cs="Times New Roman"/>
          <w:bCs/>
          <w:iCs/>
          <w:szCs w:val="24"/>
        </w:rPr>
      </w:pPr>
      <w:r w:rsidRPr="0025722E">
        <w:rPr>
          <w:rFonts w:cs="Times New Roman"/>
          <w:bCs/>
          <w:iCs/>
          <w:szCs w:val="24"/>
        </w:rPr>
        <w:t>Ascit S.p.A.</w:t>
      </w:r>
    </w:p>
    <w:p w14:paraId="4FA3545B" w14:textId="369E1333" w:rsidR="00171204" w:rsidRDefault="00171204" w:rsidP="00171204">
      <w:pPr>
        <w:pStyle w:val="Paragrafoelenco"/>
        <w:numPr>
          <w:ilvl w:val="0"/>
          <w:numId w:val="30"/>
        </w:numPr>
        <w:rPr>
          <w:rFonts w:cs="Times New Roman"/>
          <w:bCs/>
          <w:iCs/>
          <w:szCs w:val="24"/>
        </w:rPr>
      </w:pPr>
      <w:r w:rsidRPr="0025722E">
        <w:rPr>
          <w:rFonts w:cs="Times New Roman"/>
          <w:bCs/>
          <w:iCs/>
          <w:szCs w:val="24"/>
        </w:rPr>
        <w:t>Lunigiana Ambiente S.r.l.</w:t>
      </w:r>
    </w:p>
    <w:p w14:paraId="3BEA99DC" w14:textId="4FD34B83" w:rsidR="003E3298" w:rsidRPr="0025722E" w:rsidRDefault="003E3298" w:rsidP="00171204">
      <w:pPr>
        <w:pStyle w:val="Paragrafoelenco"/>
        <w:numPr>
          <w:ilvl w:val="0"/>
          <w:numId w:val="30"/>
        </w:numPr>
        <w:rPr>
          <w:rFonts w:cs="Times New Roman"/>
          <w:bCs/>
          <w:iCs/>
          <w:szCs w:val="24"/>
        </w:rPr>
      </w:pPr>
      <w:r>
        <w:rPr>
          <w:rFonts w:cs="Times New Roman"/>
          <w:bCs/>
          <w:iCs/>
          <w:szCs w:val="24"/>
        </w:rPr>
        <w:t>GEA S.r.l.</w:t>
      </w:r>
    </w:p>
    <w:p w14:paraId="16BD4F7E" w14:textId="2DE401C9" w:rsidR="00171204" w:rsidRPr="00895E49" w:rsidRDefault="00171204" w:rsidP="00EB7461">
      <w:pPr>
        <w:rPr>
          <w:rFonts w:cs="Times New Roman"/>
          <w:bCs/>
          <w:iCs/>
          <w:szCs w:val="24"/>
        </w:rPr>
      </w:pPr>
      <w:r w:rsidRPr="00171204">
        <w:rPr>
          <w:rFonts w:cs="Times New Roman"/>
          <w:bCs/>
          <w:iCs/>
          <w:szCs w:val="24"/>
        </w:rPr>
        <w:t xml:space="preserve">Come previsto nella delibera di affidamento del servizio dell’ATO e nel contratto di servizio stipulato </w:t>
      </w:r>
      <w:r w:rsidRPr="00895E49">
        <w:rPr>
          <w:rFonts w:cs="Times New Roman"/>
          <w:bCs/>
          <w:iCs/>
          <w:szCs w:val="24"/>
        </w:rPr>
        <w:t>tra quest’ultima e RetiAmbiente S.p.A., la Capogruppo e le SOL sono solidalmente obbligate verso l’ATO e i terzi all’ottemperanza di tutti gli adempimenti contrattuali derivanti dal Contratto di Servizio stesso.</w:t>
      </w:r>
    </w:p>
    <w:p w14:paraId="71E67DEF" w14:textId="1305864B" w:rsidR="00171204" w:rsidRPr="00895E49" w:rsidRDefault="00171204" w:rsidP="00EB7461">
      <w:pPr>
        <w:rPr>
          <w:bCs/>
          <w:iCs/>
          <w:szCs w:val="24"/>
        </w:rPr>
      </w:pPr>
      <w:r w:rsidRPr="00895E49">
        <w:rPr>
          <w:bCs/>
          <w:iCs/>
          <w:szCs w:val="24"/>
        </w:rPr>
        <w:t xml:space="preserve">Come deliberato dall’Assemblea dei Soci di RetiAmbiente, sono riservati alla Capogruppo la direzione degli impianti, comprendente la progettazione, costruzione e gestione degli impianti di trattamento / valorizzazione dei rifiuti, la programmazione e gestione dei flussi, programmazione e gestione delle tariffe di conferimento, i trasporti da e per gli impianti, mentre le SOL si occupano di svolgere il servizio pubblico di raccolta e gestione dei servizi afferenti all’igiene urbana. </w:t>
      </w:r>
    </w:p>
    <w:p w14:paraId="7553F442" w14:textId="489E6339" w:rsidR="00895E49" w:rsidRPr="00895E49" w:rsidRDefault="00895E49" w:rsidP="00895E49">
      <w:pPr>
        <w:spacing w:after="240"/>
        <w:rPr>
          <w:rFonts w:eastAsia="Arial Unicode MS"/>
        </w:rPr>
      </w:pPr>
      <w:r w:rsidRPr="00895E49">
        <w:rPr>
          <w:rFonts w:eastAsia="Arial Unicode MS"/>
        </w:rPr>
        <w:t>Partendo dalla analisi del contesto socio-economico della Toscana nel 2022, è utile richiamare lo studio della Banca d’Italia “</w:t>
      </w:r>
      <w:r w:rsidRPr="00895E49">
        <w:rPr>
          <w:rFonts w:eastAsia="Arial Unicode MS"/>
          <w:i/>
          <w:iCs/>
        </w:rPr>
        <w:t>Economie regionali - L’economia della Toscana - Aggiornamento congiunturale</w:t>
      </w:r>
      <w:r w:rsidRPr="00895E49">
        <w:rPr>
          <w:rFonts w:eastAsia="Arial Unicode MS"/>
        </w:rPr>
        <w:t>” n. 31 del mese di novembre 2022 (</w:t>
      </w:r>
      <w:hyperlink r:id="rId11" w:history="1">
        <w:r w:rsidRPr="00895E49">
          <w:rPr>
            <w:rStyle w:val="Collegamentoipertestuale"/>
            <w:rFonts w:eastAsia="Arial Unicode MS"/>
            <w:color w:val="auto"/>
          </w:rPr>
          <w:t>https://www.bancaditalia.it/pubblicazioni/economie-regionali/2022/2022-0031/index.html?dotcache=refresh</w:t>
        </w:r>
      </w:hyperlink>
      <w:r w:rsidRPr="00895E49">
        <w:rPr>
          <w:rFonts w:eastAsia="Arial Unicode MS"/>
        </w:rPr>
        <w:t xml:space="preserve"> ); ivi è rappresentato un quadro altalenante per cui, dopo la ripresa nel 2021 seguita alla pandemia, nella prima parte del 2022 l’attività economica in Toscana ha continuato a crescere, ma con segnali di rallentamento dovuti al consistente aumento dei costi energetici, ascrivibile soprattutto allo scoppio del conflitto in Ucraina e al persistere delle strozzature sulle catene di approvvigionamento.</w:t>
      </w:r>
    </w:p>
    <w:p w14:paraId="30CE893B" w14:textId="77777777" w:rsidR="00895E49" w:rsidRPr="00895E49" w:rsidRDefault="00895E49" w:rsidP="00895E49">
      <w:pPr>
        <w:spacing w:after="240"/>
        <w:rPr>
          <w:rFonts w:eastAsia="Arial Unicode MS"/>
        </w:rPr>
      </w:pPr>
      <w:r w:rsidRPr="00895E49">
        <w:rPr>
          <w:rFonts w:eastAsia="Arial Unicode MS"/>
        </w:rPr>
        <w:t>L’indicatore trimestrale dell’economia regionale (ITER), sviluppato dalla Banca d’Italia, segnala per il primo semestre 2022 un aumento del prodotto del 5,6 per cento, inferiore di quasi un punto percentuale a quanto registrato nella media del 2021.</w:t>
      </w:r>
    </w:p>
    <w:p w14:paraId="7E735CA5" w14:textId="77777777" w:rsidR="00895E49" w:rsidRPr="00895E49" w:rsidRDefault="00895E49" w:rsidP="00895E49">
      <w:pPr>
        <w:spacing w:after="240"/>
        <w:rPr>
          <w:rFonts w:eastAsia="Arial Unicode MS"/>
        </w:rPr>
      </w:pPr>
      <w:r w:rsidRPr="00895E49">
        <w:rPr>
          <w:rFonts w:eastAsia="Arial Unicode MS"/>
        </w:rPr>
        <w:t xml:space="preserve">Nei primi tre trimestri del 2022 l’attività industriale è risultata ancora in espansione, pur mostrando segnali di indebolimento. Il fatturato è aumentato, soprattutto per le imprese di maggiori dimensioni, </w:t>
      </w:r>
      <w:r w:rsidRPr="00895E49">
        <w:rPr>
          <w:rFonts w:eastAsia="Arial Unicode MS"/>
        </w:rPr>
        <w:lastRenderedPageBreak/>
        <w:t>e nel primo semestre anche la produzione industriale ha proseguito a salire, recuperando i livelli precedenti la pandemia (…).</w:t>
      </w:r>
    </w:p>
    <w:p w14:paraId="2AB61955" w14:textId="77777777" w:rsidR="00895E49" w:rsidRPr="00895E49" w:rsidRDefault="00895E49" w:rsidP="00895E49">
      <w:pPr>
        <w:spacing w:after="240"/>
        <w:rPr>
          <w:rFonts w:eastAsia="Arial Unicode MS"/>
        </w:rPr>
      </w:pPr>
      <w:r w:rsidRPr="00895E49">
        <w:rPr>
          <w:rFonts w:eastAsia="Arial Unicode MS"/>
        </w:rPr>
        <w:t>Nonostante le criticità connesse con la disponibilità e il rincaro dei materiali, l’attività del settore edile ha continuato a crescere, ancora sostenuta dalle politiche di agevolazione fiscale per il recupero del patrimonio abitativo, di cui hanno beneficiato soprattutto le piccole imprese. Sono altresì aumentati gli investimenti in opere pubbliche ed è proseguita la crescita delle compravendite immobiliari (…).</w:t>
      </w:r>
    </w:p>
    <w:p w14:paraId="26F6A13B" w14:textId="77777777" w:rsidR="00895E49" w:rsidRPr="00895E49" w:rsidRDefault="00895E49" w:rsidP="00895E49">
      <w:pPr>
        <w:spacing w:after="240"/>
        <w:rPr>
          <w:rFonts w:eastAsia="Arial Unicode MS"/>
        </w:rPr>
      </w:pPr>
      <w:r w:rsidRPr="00895E49">
        <w:rPr>
          <w:rFonts w:eastAsia="Arial Unicode MS"/>
        </w:rPr>
        <w:t>L’indebitamento delle famiglie ha registrato un’ulteriore espansione, sospinto sia dalla dinamica dei prestiti al consumo sia dall’erogazione di nuovi mutui per l’acquisto di abitazioni, ancora principalmente a tasso fisso (…).</w:t>
      </w:r>
    </w:p>
    <w:p w14:paraId="5E94159F" w14:textId="2B8E25FF" w:rsidR="00895E49" w:rsidRPr="00895E49" w:rsidRDefault="00895E49" w:rsidP="00895E49">
      <w:pPr>
        <w:spacing w:after="240"/>
        <w:rPr>
          <w:rFonts w:eastAsia="Arial Unicode MS"/>
        </w:rPr>
      </w:pPr>
      <w:r w:rsidRPr="00895E49">
        <w:rPr>
          <w:rFonts w:eastAsia="Arial Unicode MS"/>
        </w:rPr>
        <w:t>Tuttavia, il clima di generale incertezza sotto il profilo socio-economico, stante il rallentamento della crescita causato dagli effetti negativi della pandemia e ancor più aggravato dalla guerra in Ucraina, cui sono seguiti l’aumento dei costi energetici e dei prezzi delle materie prime, ha generato un clima di sfiducia e la perdita di potere d’acquisto delle famiglie.</w:t>
      </w:r>
    </w:p>
    <w:p w14:paraId="720E4FA6" w14:textId="13BEEBE7" w:rsidR="00895E49" w:rsidRPr="00895E49" w:rsidRDefault="00895E49" w:rsidP="00895E49">
      <w:pPr>
        <w:spacing w:after="240"/>
        <w:rPr>
          <w:rFonts w:eastAsia="Arial Unicode MS"/>
        </w:rPr>
      </w:pPr>
      <w:r w:rsidRPr="00895E49">
        <w:rPr>
          <w:rFonts w:eastAsia="Arial Unicode MS"/>
        </w:rPr>
        <w:t>A questo punto, inquadrato il contesto socio-economico regionale, occorre soffermarsi sui fenomeni di criminalità organizzata che interessano il territorio, per cui si richiama il Sesto Rapporto sui Fenomeni di Criminalità Organizzata e Corruzione in Toscana, redatto dalla Scuola Normale Superiore nel dicembre 2022 (</w:t>
      </w:r>
      <w:hyperlink r:id="rId12" w:history="1">
        <w:r w:rsidRPr="00895E49">
          <w:rPr>
            <w:rStyle w:val="Collegamentoipertestuale"/>
            <w:rFonts w:eastAsia="Arial Unicode MS"/>
            <w:color w:val="auto"/>
          </w:rPr>
          <w:t>https://www.regione.toscana.it/documents/10180/23864036/Sintesi5Rapp_2021_WEB.pdf/9f344c4d-5c1b-7ce4-b1bf-26d770adb0ab</w:t>
        </w:r>
      </w:hyperlink>
      <w:r w:rsidRPr="00895E49">
        <w:rPr>
          <w:rFonts w:eastAsia="Arial Unicode MS"/>
        </w:rPr>
        <w:t xml:space="preserve"> ).</w:t>
      </w:r>
    </w:p>
    <w:p w14:paraId="2A1279CF" w14:textId="4AD1C333" w:rsidR="00895E49" w:rsidRPr="00895E49" w:rsidRDefault="00895E49" w:rsidP="00895E49">
      <w:pPr>
        <w:spacing w:after="240"/>
        <w:rPr>
          <w:rFonts w:eastAsia="Arial Unicode MS"/>
        </w:rPr>
      </w:pPr>
      <w:r w:rsidRPr="00895E49">
        <w:rPr>
          <w:rFonts w:eastAsia="Arial Unicode MS"/>
        </w:rPr>
        <w:t>Gli episodi del 2021 confermano le specificità territoriali della proiezione criminale delle mafie nazionali e transnazionali nel territorio regionale, ossia la c.d. “variante” toscana.</w:t>
      </w:r>
    </w:p>
    <w:p w14:paraId="21D7C042" w14:textId="77777777" w:rsidR="00895E49" w:rsidRPr="00895E49" w:rsidRDefault="00895E49" w:rsidP="00895E49">
      <w:pPr>
        <w:spacing w:after="240"/>
        <w:rPr>
          <w:rFonts w:eastAsia="Arial Unicode MS"/>
        </w:rPr>
      </w:pPr>
      <w:r w:rsidRPr="00895E49">
        <w:rPr>
          <w:rFonts w:eastAsia="Arial Unicode MS"/>
        </w:rPr>
        <w:t xml:space="preserve">Dall’analisi dei principali eventi, alcune dinamiche di riproduzione criminale restano prevalenti: (a) una presenza pulviscolare di soggetti e investimenti criminali sul territorio regionale; (b) forme organizzative reticolari e tendenzialmente poco strutturate; (c) una forte vocazione imprenditoriale che si esprime nel mercato piuttosto che nei territori, attraverso attività di riciclaggio e, in maniera più limitata, attraverso imprese mafiose con sede legale stabile nella regione. Nonostante la specifica “variante” criminale che caratterizza la Toscana, sono emersi nuovi elementi che segnalano una </w:t>
      </w:r>
      <w:r w:rsidRPr="00895E49">
        <w:rPr>
          <w:rFonts w:eastAsia="Arial Unicode MS"/>
        </w:rPr>
        <w:lastRenderedPageBreak/>
        <w:t>specificità rispetto a forme di radicamento organizzativo tradizionale delle mafie nazionali nel contesto regionale, sebbene, al momento, siano state più sporadiche le tracce di una presenza organizzativa stabile.</w:t>
      </w:r>
    </w:p>
    <w:p w14:paraId="6CF77772" w14:textId="77777777" w:rsidR="00895E49" w:rsidRPr="00895E49" w:rsidRDefault="00895E49" w:rsidP="00895E49">
      <w:pPr>
        <w:spacing w:after="240"/>
        <w:rPr>
          <w:rFonts w:eastAsia="Arial Unicode MS"/>
        </w:rPr>
      </w:pPr>
      <w:r w:rsidRPr="00895E49">
        <w:rPr>
          <w:rFonts w:eastAsia="Arial Unicode MS"/>
        </w:rPr>
        <w:t>La distribuzione degli episodi intercorsi nel 2021 (45 casi) per tipologia di settore illecito, vede prevalere forme di criminalità economica (45%), in misura uguale sia per attività di riciclaggio che per la commissione di altri reati ad esso connessi (es. reati fiscali, truffe e frodi).</w:t>
      </w:r>
    </w:p>
    <w:p w14:paraId="6CAE3797" w14:textId="77777777" w:rsidR="00895E49" w:rsidRPr="00895E49" w:rsidRDefault="00895E49" w:rsidP="00895E49">
      <w:pPr>
        <w:spacing w:after="240"/>
        <w:rPr>
          <w:rFonts w:eastAsia="Arial Unicode MS"/>
        </w:rPr>
      </w:pPr>
      <w:r w:rsidRPr="00895E49">
        <w:rPr>
          <w:rFonts w:eastAsia="Arial Unicode MS"/>
        </w:rPr>
        <w:t>L’analisi sugli eventi intercorsi nel 2021 conferma la prevalenza degli investimenti nel settore privato rispetto alla più tradizionale penetrazione nel mercato dei contratti pubblici. Nello specifico, quello immobiliare (24%) resta un settore di specifico interesse, seguito da costruzioni ed estrazione/cave (17%), rifiuti (13%) e appalti (11%). Di particolare rilevanza anche gli episodi che riguardano il settore manifatturiero (11%).</w:t>
      </w:r>
    </w:p>
    <w:p w14:paraId="72977A56" w14:textId="77777777" w:rsidR="00895E49" w:rsidRPr="00895E49" w:rsidRDefault="00895E49" w:rsidP="00895E49">
      <w:pPr>
        <w:spacing w:after="240"/>
        <w:rPr>
          <w:rFonts w:eastAsia="Arial Unicode MS"/>
        </w:rPr>
      </w:pPr>
      <w:r w:rsidRPr="00895E49">
        <w:rPr>
          <w:rFonts w:eastAsia="Arial Unicode MS"/>
        </w:rPr>
        <w:t>Rispetto alle attività di riciclaggio, secondo i dati U.I.F. di Banca d’Italia, sono state 8206 le segnalazioni di operazioni sospette (s.o.s.) registrate in Toscana nel 2021, pari al 5,9% del totale nazionale, facendone l’8° regione in Italia. Le s.o.s. mostrano un incremento di +22,6% rispetto al 2020, poco inferiore rispetto alla variazione su scala nazionale (+23,3%). La provincia di Firenze è la prima in Toscana per numero di segnalazioni in valore assoluto (circa 1/3 del totale), seguita da Prato (12%), Pisa (8,9%) e Lucca (8,3%). Gli incrementi più importanti su base annua si registrano a Pisa (+46,8%), Livorno (+38%) e Massa-Carrara (+ 36,5%).</w:t>
      </w:r>
    </w:p>
    <w:p w14:paraId="383D3765" w14:textId="77777777" w:rsidR="00895E49" w:rsidRPr="003B69A2" w:rsidRDefault="00895E49" w:rsidP="00895E49">
      <w:pPr>
        <w:spacing w:after="240"/>
        <w:rPr>
          <w:rFonts w:eastAsia="Arial Unicode MS"/>
        </w:rPr>
      </w:pPr>
      <w:r w:rsidRPr="003B69A2">
        <w:rPr>
          <w:rFonts w:eastAsia="Arial Unicode MS"/>
        </w:rPr>
        <w:t>Si deve evidenziare che il numero di società destinatarie nel corso del 2021 di un provvedimento interdittivo antimafia è stato di 29, in diminuzione rispetto al 2020 (-15%), ma superiore rispetto alla media registrata nel Centro-Nord (22,4). Negli ultimi due anni (2020/2021) il numero di interdittive emesse nella regione (63 provv.) è superiore a quello registrato complessivamente nei sei anni precedenti (50 provv.), facendo della Toscana la quarta regione del Centro-Nord per numero di provvedimenti prefettizi dal 2014 al 2021, con un incremento nell’ultimo triennio superiore alle regioni più attive su questo fronte di prevenzione antimafia (+106%). Nel 2022 il numero di interdittive è pari a 22 (aggiornato a settembre), così distribuite per tentativi di infiltrazione criminale: 8 camorra; 4 tentativi di associazioni mafiose straniere, riconducibili a consorterie di etnia prevalentemente cinese; 3 ‘ndrangheta; un solo caso Cosa nostra; 6 per la sussistenza di altre situazioni ostative.</w:t>
      </w:r>
    </w:p>
    <w:p w14:paraId="1F82E4CD" w14:textId="77777777" w:rsidR="00895E49" w:rsidRPr="003B69A2" w:rsidRDefault="00895E49" w:rsidP="00895E49">
      <w:pPr>
        <w:spacing w:after="240"/>
        <w:rPr>
          <w:rFonts w:eastAsia="Arial Unicode MS"/>
        </w:rPr>
      </w:pPr>
      <w:r w:rsidRPr="003B69A2">
        <w:rPr>
          <w:rFonts w:eastAsia="Arial Unicode MS"/>
        </w:rPr>
        <w:lastRenderedPageBreak/>
        <w:t>Per concludere, è importante soffermarsi sui fenomeni corruttivi in Toscana (anno 2021), per cui si richiama ancora una volta il già citato rapporto redatto dalla Scuola Normale Superiore per la Regione Toscana.</w:t>
      </w:r>
    </w:p>
    <w:p w14:paraId="7B904E68" w14:textId="77777777" w:rsidR="00895E49" w:rsidRPr="003B69A2" w:rsidRDefault="00895E49" w:rsidP="00895E49">
      <w:pPr>
        <w:spacing w:after="240"/>
        <w:rPr>
          <w:rFonts w:eastAsia="Arial Unicode MS"/>
        </w:rPr>
      </w:pPr>
      <w:r w:rsidRPr="003B69A2">
        <w:rPr>
          <w:rFonts w:eastAsia="Arial Unicode MS"/>
        </w:rPr>
        <w:t>Il rapporto rivela diversi fattori di criticità legati alle fasi dell’emergenza sanitaria da Covid-19, e alle correlate ricadute negative a livello socio-economico. Lo studio si è avvalso di tre principali basi di dati: 1) statistiche giudiziarie; 2) lanci stampa dell’ANSA come raccolti e codificati secondo il progetto CECO; 3) rassegna stampa e fonti giudiziarie disponibili.</w:t>
      </w:r>
    </w:p>
    <w:p w14:paraId="6A1CE5FD" w14:textId="77777777" w:rsidR="00895E49" w:rsidRPr="003B69A2" w:rsidRDefault="00895E49" w:rsidP="00895E49">
      <w:pPr>
        <w:spacing w:after="240"/>
        <w:rPr>
          <w:rFonts w:eastAsia="Arial Unicode MS"/>
        </w:rPr>
      </w:pPr>
      <w:r w:rsidRPr="003B69A2">
        <w:rPr>
          <w:rFonts w:eastAsia="Arial Unicode MS"/>
        </w:rPr>
        <w:t>Rispetto alle statistiche giudiziarie del distretto toscano, emergono alcuni andamenti di interesse in riferimento ai delitti contro la pubblicazione amministrazione:</w:t>
      </w:r>
    </w:p>
    <w:p w14:paraId="1F002867" w14:textId="77777777" w:rsidR="003B69A2" w:rsidRPr="003B69A2" w:rsidRDefault="00895E49" w:rsidP="00895E49">
      <w:pPr>
        <w:pStyle w:val="Paragrafoelenco"/>
        <w:numPr>
          <w:ilvl w:val="0"/>
          <w:numId w:val="27"/>
        </w:numPr>
        <w:spacing w:after="240"/>
        <w:rPr>
          <w:rFonts w:eastAsia="Arial Unicode MS"/>
        </w:rPr>
      </w:pPr>
      <w:r w:rsidRPr="003B69A2">
        <w:rPr>
          <w:rFonts w:eastAsia="Arial Unicode MS"/>
        </w:rPr>
        <w:t>una complessiva, seppur limitata, diminuzione delle iscrizioni di procedimenti per questi delitti rispetto all’anno precedente, da 3777 nel 2020 a 3659 nel 2021 (-3%), con, nello specifico: (a) una diminuzione dei procedimenti per peculato (106 proc., -39% rispetto al 2020); (b) un aumento dei procedimenti per il reato di concussione (17 proc., +31%); (c) un calo contenuto nel numero di procedimenti per corruzione (67 proc., -4%);</w:t>
      </w:r>
    </w:p>
    <w:p w14:paraId="737E88A0" w14:textId="77777777" w:rsidR="003B69A2" w:rsidRPr="003B69A2" w:rsidRDefault="00895E49" w:rsidP="00895E49">
      <w:pPr>
        <w:pStyle w:val="Paragrafoelenco"/>
        <w:numPr>
          <w:ilvl w:val="0"/>
          <w:numId w:val="27"/>
        </w:numPr>
        <w:spacing w:after="240"/>
        <w:rPr>
          <w:rFonts w:eastAsia="Arial Unicode MS"/>
        </w:rPr>
      </w:pPr>
      <w:r w:rsidRPr="003B69A2">
        <w:rPr>
          <w:rFonts w:eastAsia="Arial Unicode MS"/>
        </w:rPr>
        <w:t>un posizionamento della Toscana all’undicesimo posto su scala nazionale per reati contro la P.A. per 100 mila abitanti (8,67), con un valore al di sotto della media nazionale registrata nello stesso anno (10,03). Anche per i reati di concussione e corruzione, il dato toscano è al di sotto della media nazionale (rispettivamente 0,35 e 1,73 per 100.000 ab.), mentre per il reato di peculato la Toscana risulta essere la seconda regione in Italia, dopo il Molise, e prima delle regioni del Centro-Sud (3,60 rispetto a una media nazionale di 1,82). Dall’analisi ad ampio spettro su più di 470 eventi di potenziale e presunta corruzione emersi su scala nazionale, come codificati dal progetto C.E.C.O., è stato possibile tracciare alcune linee di tendenza evolutiva rispetto ai fenomeni corruttivi in Toscana, in particolare (si riporta solo una estrazione di dati):</w:t>
      </w:r>
    </w:p>
    <w:p w14:paraId="61DD3EF5" w14:textId="77777777" w:rsidR="003B69A2" w:rsidRPr="003B69A2" w:rsidRDefault="00895E49" w:rsidP="00895E49">
      <w:pPr>
        <w:pStyle w:val="Paragrafoelenco"/>
        <w:numPr>
          <w:ilvl w:val="1"/>
          <w:numId w:val="27"/>
        </w:numPr>
        <w:spacing w:after="240"/>
        <w:rPr>
          <w:rFonts w:eastAsia="Arial Unicode MS"/>
        </w:rPr>
      </w:pPr>
      <w:r w:rsidRPr="003B69A2">
        <w:rPr>
          <w:rFonts w:eastAsia="Arial Unicode MS"/>
        </w:rPr>
        <w:t xml:space="preserve">sono 39 gli episodi di potenziale corruzione rilevati nel territorio toscano (circa 8% del totale nazionale, +143% rispetto al 2020). Sono quintuplicati gli episodi di corruzione generica, essendo passati dai 5 del 2020 ai 26 del 2021 e rappresentando circa il 67% dei casi emersi in regione. Restano stabili i casi di presunta concussione rilevati (3). Anche nel caso toscano, nonostante la limitata numerosità degli episodi </w:t>
      </w:r>
      <w:r w:rsidRPr="003B69A2">
        <w:rPr>
          <w:rFonts w:eastAsia="Arial Unicode MS"/>
        </w:rPr>
        <w:lastRenderedPageBreak/>
        <w:t>emersi, si segnala un incremento significativo delle vicende che hanno per oggetto la turbativa d’asta con 6 casi nel 2021 (15% del totale), pari alla somma dei due anni precedenti;</w:t>
      </w:r>
    </w:p>
    <w:p w14:paraId="6457DA0D" w14:textId="77777777" w:rsidR="003B69A2" w:rsidRPr="003B69A2" w:rsidRDefault="00895E49" w:rsidP="00895E49">
      <w:pPr>
        <w:pStyle w:val="Paragrafoelenco"/>
        <w:numPr>
          <w:ilvl w:val="1"/>
          <w:numId w:val="27"/>
        </w:numPr>
        <w:spacing w:after="240"/>
        <w:rPr>
          <w:rFonts w:eastAsia="Arial Unicode MS"/>
        </w:rPr>
      </w:pPr>
      <w:r w:rsidRPr="003B69A2">
        <w:rPr>
          <w:rFonts w:eastAsia="Arial Unicode MS"/>
        </w:rPr>
        <w:t>si registra un aumento significativo di episodi nell’attività contrattuale pubblica, confermandosi l’area più sensibile al rischio corruzione. Nel 2021, sono 19 gli episodi di potenziale corruzione emersi in questo settore (48% del totale dei casi), raddoppiati rispetto ai 9 dell’anno precedente – con un’incidenza maggiore del settore degli appalti per opere pubbliche. Si segnalano anche 6 casi nel settore delle verifiche (15%), il più alto nel triennio considerato, 3 nella sanità (7,5% dei casi) e 3 nel governo del territorio (7,5% dei casi);</w:t>
      </w:r>
    </w:p>
    <w:p w14:paraId="7BF03FEF" w14:textId="6EC4B451" w:rsidR="00895E49" w:rsidRPr="003B69A2" w:rsidRDefault="003B69A2" w:rsidP="00895E49">
      <w:pPr>
        <w:pStyle w:val="Paragrafoelenco"/>
        <w:numPr>
          <w:ilvl w:val="1"/>
          <w:numId w:val="27"/>
        </w:numPr>
        <w:spacing w:after="240"/>
        <w:rPr>
          <w:rFonts w:eastAsia="Arial Unicode MS"/>
        </w:rPr>
      </w:pPr>
      <w:r w:rsidRPr="003B69A2">
        <w:rPr>
          <w:rFonts w:eastAsia="Arial Unicode MS"/>
        </w:rPr>
        <w:t>i</w:t>
      </w:r>
      <w:r w:rsidR="00895E49" w:rsidRPr="003B69A2">
        <w:rPr>
          <w:rFonts w:eastAsia="Arial Unicode MS"/>
        </w:rPr>
        <w:t>l settore degli appalti, come prevedibile, si conferma tra le aree più “sensibili” al rischio corruzione nel territorio toscano negli ultimi sei anni con 30 casi, poco meno del 40% di quelli mappati. Seguono controlli (11 vicende), concessioni (6), sicurezza (5), concorsi pubblici (4), quindi una pluralità di altri ambiti specifici di intervento pubblico.</w:t>
      </w:r>
    </w:p>
    <w:p w14:paraId="4AD1AAE3" w14:textId="77777777" w:rsidR="00895E49" w:rsidRPr="003B69A2" w:rsidRDefault="00895E49" w:rsidP="00895E49">
      <w:pPr>
        <w:spacing w:after="240"/>
        <w:rPr>
          <w:rFonts w:eastAsia="Arial Unicode MS"/>
        </w:rPr>
      </w:pPr>
      <w:r w:rsidRPr="003B69A2">
        <w:rPr>
          <w:rFonts w:eastAsia="Arial Unicode MS"/>
        </w:rPr>
        <w:t>Ne discende la necessità, come si legge nel rapporto, di porre particolare attenzione all’affluire delle risorse provenienti dal PNRR.</w:t>
      </w:r>
    </w:p>
    <w:p w14:paraId="59AC2D08" w14:textId="77777777" w:rsidR="00EB7461" w:rsidRPr="003B69A2" w:rsidRDefault="00EB7461" w:rsidP="00EB7461">
      <w:pPr>
        <w:rPr>
          <w:rFonts w:cs="Times New Roman"/>
          <w:iCs/>
          <w:szCs w:val="24"/>
        </w:rPr>
      </w:pPr>
      <w:r w:rsidRPr="003B69A2">
        <w:rPr>
          <w:rFonts w:cs="Times New Roman"/>
          <w:iCs/>
          <w:szCs w:val="24"/>
        </w:rPr>
        <w:t>Infine, in relazione al fenomeno corruttivo, può essere svolta un’analisi prendendo a riferimento i dati contenuti nel report ANAC sulla corruzione in Italia nel triennio 2016-2019.</w:t>
      </w:r>
    </w:p>
    <w:p w14:paraId="3D4869A4" w14:textId="77777777" w:rsidR="00EB7461" w:rsidRPr="003B69A2" w:rsidRDefault="00EB7461" w:rsidP="00EB7461">
      <w:pPr>
        <w:rPr>
          <w:rFonts w:cs="Times New Roman"/>
          <w:iCs/>
          <w:szCs w:val="24"/>
        </w:rPr>
      </w:pPr>
      <w:r w:rsidRPr="003B69A2">
        <w:rPr>
          <w:rFonts w:cs="Times New Roman"/>
          <w:iCs/>
          <w:szCs w:val="24"/>
        </w:rPr>
        <w:t>In sintesi, da tale report, emergono i seguenti dati:</w:t>
      </w:r>
    </w:p>
    <w:p w14:paraId="46E229EB" w14:textId="77777777" w:rsidR="003B69A2" w:rsidRPr="003B69A2" w:rsidRDefault="00EB7461" w:rsidP="00EB7461">
      <w:pPr>
        <w:pStyle w:val="Paragrafoelenco"/>
        <w:numPr>
          <w:ilvl w:val="0"/>
          <w:numId w:val="28"/>
        </w:numPr>
        <w:rPr>
          <w:rFonts w:cs="Times New Roman"/>
          <w:iCs/>
          <w:szCs w:val="24"/>
        </w:rPr>
      </w:pPr>
      <w:r w:rsidRPr="003B69A2">
        <w:rPr>
          <w:rFonts w:cs="Times New Roman"/>
          <w:iCs/>
          <w:szCs w:val="24"/>
        </w:rPr>
        <w:t>fra agosto 2016 e agosto 2019 sono state 117 le ordinanze di custodia cautelare spiccate dall’Autorità giudiziaria in Italia e correlate in qualche modo al settore degli appalti. In linea sono anche i casi di corruzione emersi analizzando i provvedimenti della magistratura, pari a 152. Ad essere interessate sono state pressoché tutte le regioni d’Italia;</w:t>
      </w:r>
    </w:p>
    <w:p w14:paraId="7198F527" w14:textId="5ABE0567" w:rsidR="00EB7461" w:rsidRPr="003B69A2" w:rsidRDefault="00EB7461" w:rsidP="00EB7461">
      <w:pPr>
        <w:pStyle w:val="Paragrafoelenco"/>
        <w:numPr>
          <w:ilvl w:val="0"/>
          <w:numId w:val="28"/>
        </w:numPr>
        <w:rPr>
          <w:rFonts w:cs="Times New Roman"/>
          <w:iCs/>
          <w:szCs w:val="24"/>
        </w:rPr>
      </w:pPr>
      <w:r w:rsidRPr="003B69A2">
        <w:rPr>
          <w:rFonts w:cs="Times New Roman"/>
          <w:iCs/>
          <w:szCs w:val="24"/>
        </w:rPr>
        <w:t xml:space="preserve">il 74% delle vicende (113 casi) ha riguardato l’assegnazione di appalti, a conferma della rilevanza del settore e degli interessi illeciti ad esso legati per via dell’ingente volume economico. Quanto alle modalità “operative”, è degna di nota la circostanza che, su 113 vicende inerenti all’assegnazione di appalti, solo 20 riguardavano affidamenti diretti (18%). In tutti gli altri casi sono state espletate procedure di gara: ciò lascia presupporre l’esistenza di una certa raffinatezza criminale nell’adeguarsi alle modalità di scelta del contraente imposte </w:t>
      </w:r>
      <w:r w:rsidRPr="003B69A2">
        <w:rPr>
          <w:rFonts w:cs="Times New Roman"/>
          <w:iCs/>
          <w:szCs w:val="24"/>
        </w:rPr>
        <w:lastRenderedPageBreak/>
        <w:t xml:space="preserve">dalla legge per le commesse di maggiore importo, evitando sistemi (quali appunto l’assegnazione diretta) che in misura maggiore possono destare sospetti. </w:t>
      </w:r>
    </w:p>
    <w:p w14:paraId="1401BAE1" w14:textId="77777777" w:rsidR="00EB7461" w:rsidRPr="003B69A2" w:rsidRDefault="00EB7461" w:rsidP="001F5FBE">
      <w:pPr>
        <w:ind w:left="708"/>
        <w:rPr>
          <w:rFonts w:cs="Times New Roman"/>
          <w:iCs/>
          <w:szCs w:val="24"/>
        </w:rPr>
      </w:pPr>
      <w:r w:rsidRPr="003B69A2">
        <w:rPr>
          <w:rFonts w:cs="Times New Roman"/>
          <w:iCs/>
          <w:szCs w:val="24"/>
        </w:rPr>
        <w:t>Tale aspetto ci induce a ritenere rilevante lo svolgimento di verifiche specifiche e frequenti non solo sui casi di affidamenti diretti, che sicuramente rientrano fra le modalità più rischiose per la commissione di illeciti corruttivi, ma anche sulle procedure negoziate e aperte, al fine di riscontrare la correttezza di tutta la procedura di gara;</w:t>
      </w:r>
    </w:p>
    <w:p w14:paraId="6B946215" w14:textId="77777777" w:rsidR="003B69A2" w:rsidRPr="003B69A2" w:rsidRDefault="00EB7461" w:rsidP="00EB7461">
      <w:pPr>
        <w:pStyle w:val="Paragrafoelenco"/>
        <w:numPr>
          <w:ilvl w:val="0"/>
          <w:numId w:val="29"/>
        </w:numPr>
        <w:rPr>
          <w:rFonts w:cs="Times New Roman"/>
          <w:iCs/>
          <w:szCs w:val="24"/>
        </w:rPr>
      </w:pPr>
      <w:r w:rsidRPr="003B69A2">
        <w:rPr>
          <w:rFonts w:cs="Times New Roman"/>
          <w:iCs/>
          <w:szCs w:val="24"/>
        </w:rPr>
        <w:t>nel periodo in esame sono stati 207 i pubblici ufficiali/incaricati di pubblico servizio indagati per corruzione: i Dirigenti, funzionari e dipendenti rappresentano il 44% delle casistiche;</w:t>
      </w:r>
    </w:p>
    <w:p w14:paraId="5DFD1DC5" w14:textId="77777777" w:rsidR="003B69A2" w:rsidRPr="003B69A2" w:rsidRDefault="00EB7461" w:rsidP="00EB7461">
      <w:pPr>
        <w:pStyle w:val="Paragrafoelenco"/>
        <w:numPr>
          <w:ilvl w:val="0"/>
          <w:numId w:val="29"/>
        </w:numPr>
        <w:rPr>
          <w:rFonts w:cs="Times New Roman"/>
          <w:iCs/>
          <w:szCs w:val="24"/>
        </w:rPr>
      </w:pPr>
      <w:r w:rsidRPr="003B69A2">
        <w:rPr>
          <w:rFonts w:cs="Times New Roman"/>
          <w:iCs/>
          <w:szCs w:val="24"/>
        </w:rPr>
        <w:t>i Comuni rappresentano gli enti maggiormente a rischio: dei 152 casi censiti, 63 hanno avuto luogo nei municipi (41%), seguiti dalle società partecipate (16%);</w:t>
      </w:r>
    </w:p>
    <w:p w14:paraId="0B022FEF" w14:textId="6211BFEF" w:rsidR="00EB7461" w:rsidRPr="003B69A2" w:rsidRDefault="00EB7461" w:rsidP="00EB7461">
      <w:pPr>
        <w:pStyle w:val="Paragrafoelenco"/>
        <w:numPr>
          <w:ilvl w:val="0"/>
          <w:numId w:val="29"/>
        </w:numPr>
        <w:rPr>
          <w:rFonts w:cs="Times New Roman"/>
          <w:iCs/>
          <w:szCs w:val="24"/>
        </w:rPr>
      </w:pPr>
      <w:r w:rsidRPr="003B69A2">
        <w:rPr>
          <w:rFonts w:cs="Times New Roman"/>
          <w:iCs/>
          <w:szCs w:val="24"/>
        </w:rPr>
        <w:t xml:space="preserve">il denaro continua a rappresentare il principale strumento dell’accordo illecito, tanto da ricorrere nel 48% delle vicende esaminate. Tuttavia, a fronte di questa “ritirata” del contante, stante anche la difficoltà di occultamento delle somme illecite percepite, il posto di lavoro risulta il secondo strumento più utilizzato quale scambio di utilità (13%). A seguire si colloca l’assegnazione di prestazioni professionali (11%), specialmente sotto forma di consulenze, spesso conferite a persone o realtà giuridiche riconducibili al corrotto o in ogni caso compiacenti. Le regalie sono presenti invece nel 7% degli episodi. </w:t>
      </w:r>
    </w:p>
    <w:p w14:paraId="01B19709" w14:textId="71894712" w:rsidR="00EB7461" w:rsidRPr="003B69A2" w:rsidRDefault="00EB7461" w:rsidP="00EB7461">
      <w:pPr>
        <w:rPr>
          <w:rFonts w:cs="Times New Roman"/>
          <w:iCs/>
          <w:szCs w:val="24"/>
        </w:rPr>
      </w:pPr>
      <w:r w:rsidRPr="003B69A2">
        <w:rPr>
          <w:rFonts w:cs="Times New Roman"/>
          <w:iCs/>
          <w:szCs w:val="24"/>
        </w:rPr>
        <w:t xml:space="preserve">Rispetto a tali tematiche si evidenzia che </w:t>
      </w:r>
      <w:r w:rsidR="003B69A2" w:rsidRPr="003B69A2">
        <w:rPr>
          <w:rFonts w:cs="Times New Roman"/>
          <w:iCs/>
          <w:szCs w:val="24"/>
        </w:rPr>
        <w:t>nel Gruppo RetiAmbiente</w:t>
      </w:r>
      <w:r w:rsidRPr="003B69A2">
        <w:rPr>
          <w:rFonts w:cs="Times New Roman"/>
          <w:iCs/>
          <w:szCs w:val="24"/>
        </w:rPr>
        <w:t xml:space="preserve"> l’utilizzo del contante risulta molto limitato e, ove presente, sottoposto a specifiche attività di controllo e verifica. Ugualmente, il processo di selezione del personale, risulta altamente presidiato anche in relazione alle modalità di svolgimento delle selezioni, che avvengono tramite avvisi pubblici, valutazioni da parte di una commissione di selezione e definizione di una graduatoria degli idonei. Risulta pertanto da sottoporre a maggior attenzione il processo di affidamento di incarichi professionali, nei quali permane un certo carattere di fiduciarietà e intangibilità che richiede specifiche attività </w:t>
      </w:r>
      <w:r w:rsidR="005E7F7C">
        <w:rPr>
          <w:rFonts w:cs="Times New Roman"/>
          <w:iCs/>
          <w:szCs w:val="24"/>
        </w:rPr>
        <w:t xml:space="preserve">di </w:t>
      </w:r>
      <w:r w:rsidRPr="003B69A2">
        <w:rPr>
          <w:rFonts w:cs="Times New Roman"/>
          <w:iCs/>
          <w:szCs w:val="24"/>
        </w:rPr>
        <w:t>verifica.</w:t>
      </w:r>
    </w:p>
    <w:p w14:paraId="20C2475F" w14:textId="26902009" w:rsidR="00EB7461" w:rsidRPr="003B69A2" w:rsidRDefault="00EB7461" w:rsidP="00EB7461">
      <w:pPr>
        <w:rPr>
          <w:rFonts w:cs="Times New Roman"/>
          <w:iCs/>
          <w:szCs w:val="24"/>
          <w:highlight w:val="yellow"/>
        </w:rPr>
      </w:pPr>
      <w:r w:rsidRPr="003B69A2">
        <w:rPr>
          <w:rFonts w:cs="Times New Roman"/>
          <w:iCs/>
          <w:szCs w:val="24"/>
        </w:rPr>
        <w:t>Il quadro complessivo che emerge testimonia che il fenomeno corruttivo è tuttora radicato e persistente</w:t>
      </w:r>
      <w:r w:rsidR="005E7F7C">
        <w:rPr>
          <w:rFonts w:cs="Times New Roman"/>
          <w:iCs/>
          <w:szCs w:val="24"/>
        </w:rPr>
        <w:t xml:space="preserve"> nel territorio</w:t>
      </w:r>
      <w:r w:rsidRPr="003B69A2">
        <w:rPr>
          <w:rFonts w:cs="Times New Roman"/>
          <w:iCs/>
          <w:szCs w:val="24"/>
        </w:rPr>
        <w:t xml:space="preserve"> e determina quindi la necessità di tenere costantemente alta l’attenzione. È importante evidenziare, tuttavia, che l’Italia viene percepita come un Paese meno corrotto del passato, come dimostra il miglioramento nelle classifiche di settore. In un anno l’Italia ha scalato dieci posizioni nella classifica di Transparency International: secondo i dati dell’Indice della percezione della corruzione 202</w:t>
      </w:r>
      <w:r w:rsidR="003B69A2" w:rsidRPr="003B69A2">
        <w:rPr>
          <w:rFonts w:cs="Times New Roman"/>
          <w:iCs/>
          <w:szCs w:val="24"/>
        </w:rPr>
        <w:t>2</w:t>
      </w:r>
      <w:r w:rsidRPr="003B69A2">
        <w:rPr>
          <w:rFonts w:cs="Times New Roman"/>
          <w:iCs/>
          <w:szCs w:val="24"/>
        </w:rPr>
        <w:t xml:space="preserve"> siamo al 4</w:t>
      </w:r>
      <w:r w:rsidR="003B69A2" w:rsidRPr="003B69A2">
        <w:rPr>
          <w:rFonts w:cs="Times New Roman"/>
          <w:iCs/>
          <w:szCs w:val="24"/>
        </w:rPr>
        <w:t>1</w:t>
      </w:r>
      <w:r w:rsidRPr="003B69A2">
        <w:rPr>
          <w:rFonts w:cs="Times New Roman"/>
          <w:iCs/>
          <w:szCs w:val="24"/>
        </w:rPr>
        <w:t xml:space="preserve">° posto su una classifica di 180 paesi. Nel 2020 l’Italia occupava il 52° posto. L’indice di Percezione della Corruzione (CPI) di Transparency International misura la </w:t>
      </w:r>
      <w:r w:rsidRPr="003B69A2">
        <w:rPr>
          <w:rFonts w:cs="Times New Roman"/>
          <w:iCs/>
          <w:szCs w:val="24"/>
        </w:rPr>
        <w:lastRenderedPageBreak/>
        <w:t>percezione della corruzione nel settore pubblico e nella politica in numerosi Paesi di tutto il mondo. Lo fa basandosi sull’opinione di esperti e assegnando una valutazione che va da 0, per i Paesi ritenuti molto corrotti, a 100, per quelli “puliti”: il punteggio dell’Italia nel 202</w:t>
      </w:r>
      <w:r w:rsidR="003B69A2" w:rsidRPr="003B69A2">
        <w:rPr>
          <w:rFonts w:cs="Times New Roman"/>
          <w:iCs/>
          <w:szCs w:val="24"/>
        </w:rPr>
        <w:t>2</w:t>
      </w:r>
      <w:r w:rsidRPr="003B69A2">
        <w:rPr>
          <w:rFonts w:cs="Times New Roman"/>
          <w:iCs/>
          <w:szCs w:val="24"/>
        </w:rPr>
        <w:t xml:space="preserve"> è 56, ben tre punti in più rispetto al 2020. L’andamento è positivo dal 2012: in dieci anni abbiamo guadagnato 14 punti.</w:t>
      </w:r>
    </w:p>
    <w:p w14:paraId="5838CA59" w14:textId="4EB1CFAE" w:rsidR="00EB7461" w:rsidRPr="003B69A2" w:rsidRDefault="00EB7461" w:rsidP="00EB7461">
      <w:pPr>
        <w:rPr>
          <w:rFonts w:cs="Times New Roman"/>
          <w:iCs/>
          <w:szCs w:val="24"/>
        </w:rPr>
      </w:pPr>
      <w:r w:rsidRPr="003B69A2">
        <w:rPr>
          <w:rFonts w:cs="Times New Roman"/>
          <w:iCs/>
          <w:szCs w:val="24"/>
        </w:rPr>
        <w:t xml:space="preserve">Come da evidenziazioni di cui sopra, </w:t>
      </w:r>
      <w:r w:rsidR="003B69A2" w:rsidRPr="003B69A2">
        <w:rPr>
          <w:rFonts w:cs="Times New Roman"/>
          <w:iCs/>
          <w:szCs w:val="24"/>
        </w:rPr>
        <w:t xml:space="preserve">il Gruppo RetiAmbiente </w:t>
      </w:r>
      <w:r w:rsidRPr="003B69A2">
        <w:rPr>
          <w:rFonts w:cs="Times New Roman"/>
          <w:iCs/>
          <w:szCs w:val="24"/>
        </w:rPr>
        <w:t xml:space="preserve">opera in un territorio e nell’ambito di un servizio nei quali gli interessi della criminalità organizzata sono assai significativi; la prevenzione della corruzione costituisce pertanto per </w:t>
      </w:r>
      <w:r w:rsidR="003B69A2" w:rsidRPr="003B69A2">
        <w:rPr>
          <w:rFonts w:cs="Times New Roman"/>
          <w:iCs/>
          <w:szCs w:val="24"/>
        </w:rPr>
        <w:t>il Gruppo</w:t>
      </w:r>
      <w:r w:rsidRPr="003B69A2">
        <w:rPr>
          <w:rFonts w:cs="Times New Roman"/>
          <w:iCs/>
          <w:szCs w:val="24"/>
        </w:rPr>
        <w:t xml:space="preserve"> una priorità strategica ed operativa.</w:t>
      </w:r>
    </w:p>
    <w:p w14:paraId="3E91F21B" w14:textId="3A515CB3" w:rsidR="00EB7461" w:rsidRPr="003A4C23" w:rsidRDefault="00EB7461" w:rsidP="00EB7461">
      <w:pPr>
        <w:rPr>
          <w:rFonts w:cs="Times New Roman"/>
          <w:iCs/>
          <w:szCs w:val="24"/>
        </w:rPr>
      </w:pPr>
      <w:r w:rsidRPr="003B69A2">
        <w:rPr>
          <w:rFonts w:cs="Times New Roman"/>
          <w:iCs/>
          <w:szCs w:val="24"/>
        </w:rPr>
        <w:t xml:space="preserve">Al fine di tenere conto del livello di rischiosità connesso al settore e ai luoghi di riferimento dove opera </w:t>
      </w:r>
      <w:r w:rsidR="003B69A2" w:rsidRPr="003B69A2">
        <w:rPr>
          <w:rFonts w:cs="Times New Roman"/>
          <w:iCs/>
          <w:szCs w:val="24"/>
        </w:rPr>
        <w:t>il Gruppo RetiAmbiente</w:t>
      </w:r>
      <w:r w:rsidRPr="003B69A2">
        <w:rPr>
          <w:rFonts w:cs="Times New Roman"/>
          <w:iCs/>
          <w:szCs w:val="24"/>
        </w:rPr>
        <w:t xml:space="preserve"> è sta</w:t>
      </w:r>
      <w:r w:rsidR="005E7F7C">
        <w:rPr>
          <w:rFonts w:cs="Times New Roman"/>
          <w:iCs/>
          <w:szCs w:val="24"/>
        </w:rPr>
        <w:t>to</w:t>
      </w:r>
      <w:r w:rsidRPr="003B69A2">
        <w:rPr>
          <w:rFonts w:cs="Times New Roman"/>
          <w:iCs/>
          <w:szCs w:val="24"/>
        </w:rPr>
        <w:t xml:space="preserve"> considerato tale fattore all’interno della mappatura dei processi sensibili, in particolare per il calcolo della probabilità del rischio inerente, considerando un livello di rischio medio.</w:t>
      </w:r>
    </w:p>
    <w:p w14:paraId="290C0677" w14:textId="77777777" w:rsidR="003B69A2" w:rsidRPr="000E39AB" w:rsidRDefault="003B69A2" w:rsidP="00EB7461">
      <w:pPr>
        <w:rPr>
          <w:rFonts w:cs="Times New Roman"/>
          <w:i/>
          <w:szCs w:val="24"/>
        </w:rPr>
      </w:pPr>
    </w:p>
    <w:p w14:paraId="0001C41D" w14:textId="4564DE01" w:rsidR="00EB7461" w:rsidRPr="000E39AB" w:rsidRDefault="003A4C23" w:rsidP="003A4C23">
      <w:pPr>
        <w:pStyle w:val="Titolo2"/>
      </w:pPr>
      <w:bookmarkStart w:id="5" w:name="_Toc156660340"/>
      <w:r>
        <w:t xml:space="preserve">1.2. </w:t>
      </w:r>
      <w:r w:rsidR="00EB7461" w:rsidRPr="000E39AB">
        <w:t xml:space="preserve">Attività svolte </w:t>
      </w:r>
      <w:r w:rsidR="00EB7461">
        <w:t>dal Gruppo RetiAmbiente</w:t>
      </w:r>
      <w:r w:rsidR="00EB7461" w:rsidRPr="000E39AB">
        <w:t>, soci in affari e interazioni con pubblici ufficiali</w:t>
      </w:r>
      <w:bookmarkEnd w:id="5"/>
      <w:r w:rsidR="002E4FB7">
        <w:t xml:space="preserve"> </w:t>
      </w:r>
    </w:p>
    <w:p w14:paraId="5ECD38E4" w14:textId="3B484952" w:rsidR="00EB7461" w:rsidRDefault="0025722E" w:rsidP="00EB7461">
      <w:pPr>
        <w:rPr>
          <w:rFonts w:cs="Times New Roman"/>
          <w:iCs/>
          <w:szCs w:val="24"/>
        </w:rPr>
      </w:pPr>
      <w:r w:rsidRPr="0025722E">
        <w:rPr>
          <w:rFonts w:cs="Times New Roman"/>
          <w:iCs/>
          <w:szCs w:val="24"/>
        </w:rPr>
        <w:t>Il Gruppo RetiAmbiente</w:t>
      </w:r>
      <w:r w:rsidR="00EB7461" w:rsidRPr="0025722E">
        <w:rPr>
          <w:rFonts w:cs="Times New Roman"/>
          <w:iCs/>
          <w:szCs w:val="24"/>
        </w:rPr>
        <w:t xml:space="preserve"> ha mappato i propri processi aziendali a rischio corruttivo all’interno </w:t>
      </w:r>
      <w:r w:rsidR="005E7F7C">
        <w:rPr>
          <w:rFonts w:cs="Times New Roman"/>
          <w:iCs/>
          <w:szCs w:val="24"/>
        </w:rPr>
        <w:t>de</w:t>
      </w:r>
      <w:r w:rsidR="00580315">
        <w:rPr>
          <w:rFonts w:cs="Times New Roman"/>
          <w:iCs/>
          <w:szCs w:val="24"/>
        </w:rPr>
        <w:t>l Risk assessment anticorruzione</w:t>
      </w:r>
      <w:r w:rsidR="00EB7461" w:rsidRPr="0025722E">
        <w:rPr>
          <w:rFonts w:cs="Times New Roman"/>
          <w:iCs/>
          <w:szCs w:val="24"/>
        </w:rPr>
        <w:t xml:space="preserve">. Tale mappatura è stata </w:t>
      </w:r>
      <w:r w:rsidRPr="0025722E">
        <w:rPr>
          <w:rFonts w:cs="Times New Roman"/>
          <w:iCs/>
          <w:szCs w:val="24"/>
        </w:rPr>
        <w:t xml:space="preserve">svolta </w:t>
      </w:r>
      <w:r w:rsidRPr="0025722E">
        <w:rPr>
          <w:szCs w:val="24"/>
        </w:rPr>
        <w:t xml:space="preserve">dal RPCT, in collaborazione con il Responsabile della Funzione di conformità della Capogruppo e con il supporto dei referenti anticorruzione e dei referenti della Funzione di conformità individuati all’interno di ciascuna SOL, </w:t>
      </w:r>
      <w:r w:rsidR="00EB7461" w:rsidRPr="0025722E">
        <w:rPr>
          <w:rFonts w:cs="Times New Roman"/>
          <w:iCs/>
          <w:szCs w:val="24"/>
        </w:rPr>
        <w:t xml:space="preserve">a seguito di interviste svolte </w:t>
      </w:r>
      <w:r w:rsidRPr="0025722E">
        <w:rPr>
          <w:rFonts w:cs="Times New Roman"/>
          <w:iCs/>
          <w:szCs w:val="24"/>
        </w:rPr>
        <w:t xml:space="preserve">con la Direzione e i </w:t>
      </w:r>
      <w:r w:rsidR="00EB7461" w:rsidRPr="0025722E">
        <w:rPr>
          <w:rFonts w:cs="Times New Roman"/>
          <w:iCs/>
          <w:szCs w:val="24"/>
        </w:rPr>
        <w:t>Responsabili delle diverse aree aziendali</w:t>
      </w:r>
      <w:r w:rsidRPr="0025722E">
        <w:rPr>
          <w:rFonts w:cs="Times New Roman"/>
          <w:iCs/>
          <w:szCs w:val="24"/>
        </w:rPr>
        <w:t xml:space="preserve"> di ciascuna Società del Gruppo</w:t>
      </w:r>
      <w:r w:rsidR="00EB7461" w:rsidRPr="0025722E">
        <w:rPr>
          <w:rFonts w:cs="Times New Roman"/>
          <w:iCs/>
          <w:szCs w:val="24"/>
        </w:rPr>
        <w:t xml:space="preserve">. Ciascun processo è stato suddiviso in specifiche attività e per ognuna di queste è stato individuato il personale coinvolto, gli stakeholder, gli eventuali soci in affari e pubblici ufficiali con cui </w:t>
      </w:r>
      <w:r w:rsidRPr="0025722E">
        <w:rPr>
          <w:rFonts w:cs="Times New Roman"/>
          <w:iCs/>
          <w:szCs w:val="24"/>
        </w:rPr>
        <w:t>il Gruppo</w:t>
      </w:r>
      <w:r w:rsidR="00EB7461" w:rsidRPr="0025722E">
        <w:rPr>
          <w:rFonts w:cs="Times New Roman"/>
          <w:iCs/>
          <w:szCs w:val="24"/>
        </w:rPr>
        <w:t xml:space="preserve"> entra in contatto. </w:t>
      </w:r>
    </w:p>
    <w:p w14:paraId="26966611" w14:textId="003BFAE4" w:rsidR="001F5FBE" w:rsidRDefault="001F5FBE" w:rsidP="00EB7461">
      <w:pPr>
        <w:rPr>
          <w:rFonts w:cs="Times New Roman"/>
          <w:iCs/>
          <w:szCs w:val="24"/>
        </w:rPr>
      </w:pPr>
      <w:r>
        <w:rPr>
          <w:rFonts w:cs="Times New Roman"/>
          <w:iCs/>
          <w:szCs w:val="24"/>
        </w:rPr>
        <w:t>Si riporta nel seguito un elenco dei processi sensibili ai rischi corruttivi:</w:t>
      </w:r>
    </w:p>
    <w:p w14:paraId="120C6440"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Affidamento di beni, servizi e lavori</w:t>
      </w:r>
    </w:p>
    <w:p w14:paraId="006E9D15"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Affidamento di incarichi professionali</w:t>
      </w:r>
    </w:p>
    <w:p w14:paraId="2E8CDA17"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contabilità</w:t>
      </w:r>
    </w:p>
    <w:p w14:paraId="6C976551"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contenzioso</w:t>
      </w:r>
    </w:p>
    <w:p w14:paraId="0716CC47"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dei beni aziendali</w:t>
      </w:r>
    </w:p>
    <w:p w14:paraId="10A7749F"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dei rapporti con i consorzi di filiera</w:t>
      </w:r>
    </w:p>
    <w:p w14:paraId="0331AD6A"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dei rapporti con la Pubblica Amministrazione</w:t>
      </w:r>
    </w:p>
    <w:p w14:paraId="23D67115"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dei rifiuti</w:t>
      </w:r>
    </w:p>
    <w:p w14:paraId="74BD0799"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lastRenderedPageBreak/>
        <w:t>Gestione del personale</w:t>
      </w:r>
    </w:p>
    <w:p w14:paraId="12D968AE"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finanziaria</w:t>
      </w:r>
    </w:p>
    <w:p w14:paraId="3991847F"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 xml:space="preserve">Gestione laboratorio per analisi chimiche e microbiologiche </w:t>
      </w:r>
    </w:p>
    <w:p w14:paraId="1E94D933"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magazzini</w:t>
      </w:r>
    </w:p>
    <w:p w14:paraId="4F5D43EE"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omaggi, spese di rappresentanza, sponsorizzazioni ed erogazioni liberali</w:t>
      </w:r>
    </w:p>
    <w:p w14:paraId="4803E976"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rapporti di partnership</w:t>
      </w:r>
    </w:p>
    <w:p w14:paraId="59203233"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servizi commerciali</w:t>
      </w:r>
    </w:p>
    <w:p w14:paraId="4332C2AB"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servizi di Igiene Ambientale</w:t>
      </w:r>
    </w:p>
    <w:p w14:paraId="0D62E26E"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servizi informativi</w:t>
      </w:r>
    </w:p>
    <w:p w14:paraId="2595544E"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tariffazione</w:t>
      </w:r>
    </w:p>
    <w:p w14:paraId="6CCFEC9B"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Organo amministrativo e di controllo</w:t>
      </w:r>
    </w:p>
    <w:p w14:paraId="7FB4DFF4"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Ricerca di personale infraruppo</w:t>
      </w:r>
    </w:p>
    <w:p w14:paraId="59009856" w14:textId="77777777"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Selezione esterna del personale</w:t>
      </w:r>
    </w:p>
    <w:p w14:paraId="04FC8FEB" w14:textId="06E10F76" w:rsidR="00640B59" w:rsidRPr="00640B59" w:rsidRDefault="00640B59" w:rsidP="00640B59">
      <w:pPr>
        <w:pStyle w:val="Paragrafoelenco"/>
        <w:numPr>
          <w:ilvl w:val="0"/>
          <w:numId w:val="37"/>
        </w:numPr>
        <w:rPr>
          <w:rFonts w:cs="Times New Roman"/>
          <w:iCs/>
          <w:szCs w:val="24"/>
        </w:rPr>
      </w:pPr>
      <w:r w:rsidRPr="00640B59">
        <w:rPr>
          <w:rFonts w:cs="Times New Roman"/>
          <w:iCs/>
          <w:szCs w:val="24"/>
        </w:rPr>
        <w:t>Gestione servizi cimiteriali</w:t>
      </w:r>
    </w:p>
    <w:p w14:paraId="020C710E" w14:textId="26B83CAD" w:rsidR="00EB7461" w:rsidRPr="00507C4C" w:rsidRDefault="001F5FBE" w:rsidP="00EB7461">
      <w:pPr>
        <w:rPr>
          <w:rFonts w:cs="Times New Roman"/>
          <w:iCs/>
          <w:szCs w:val="24"/>
        </w:rPr>
      </w:pPr>
      <w:r>
        <w:rPr>
          <w:rFonts w:cs="Times New Roman"/>
          <w:iCs/>
          <w:szCs w:val="24"/>
        </w:rPr>
        <w:t>L</w:t>
      </w:r>
      <w:r w:rsidR="00EB7461" w:rsidRPr="00507C4C">
        <w:rPr>
          <w:rFonts w:cs="Times New Roman"/>
          <w:iCs/>
          <w:szCs w:val="24"/>
        </w:rPr>
        <w:t xml:space="preserve">e categorie di soci in affari </w:t>
      </w:r>
      <w:r w:rsidR="00507C4C" w:rsidRPr="00507C4C">
        <w:rPr>
          <w:rFonts w:cs="Times New Roman"/>
          <w:iCs/>
          <w:szCs w:val="24"/>
        </w:rPr>
        <w:t>del Gruppo RetiAmbiente</w:t>
      </w:r>
      <w:r w:rsidR="00EB7461" w:rsidRPr="00507C4C">
        <w:rPr>
          <w:rFonts w:cs="Times New Roman"/>
          <w:iCs/>
          <w:szCs w:val="24"/>
        </w:rPr>
        <w:t xml:space="preserve"> sono rappresentanti dalle seguenti:</w:t>
      </w:r>
    </w:p>
    <w:p w14:paraId="1D0148E4" w14:textId="1CB8ECAE" w:rsidR="00507C4C" w:rsidRDefault="00507C4C" w:rsidP="00507C4C">
      <w:pPr>
        <w:pStyle w:val="Paragrafoelenco"/>
        <w:numPr>
          <w:ilvl w:val="0"/>
          <w:numId w:val="31"/>
        </w:numPr>
      </w:pPr>
      <w:r w:rsidRPr="00507C4C">
        <w:t xml:space="preserve">Fornitori di beni, servizi e lavori </w:t>
      </w:r>
    </w:p>
    <w:p w14:paraId="5E999815" w14:textId="2505A1F6" w:rsidR="00507C4C" w:rsidRDefault="00507C4C" w:rsidP="00507C4C">
      <w:pPr>
        <w:pStyle w:val="Paragrafoelenco"/>
        <w:numPr>
          <w:ilvl w:val="0"/>
          <w:numId w:val="31"/>
        </w:numPr>
      </w:pPr>
      <w:r w:rsidRPr="00507C4C">
        <w:t>Consulenti</w:t>
      </w:r>
    </w:p>
    <w:p w14:paraId="601191F2" w14:textId="3935B3BD" w:rsidR="00507C4C" w:rsidRDefault="00507C4C" w:rsidP="00507C4C">
      <w:pPr>
        <w:pStyle w:val="Paragrafoelenco"/>
        <w:numPr>
          <w:ilvl w:val="0"/>
          <w:numId w:val="31"/>
        </w:numPr>
      </w:pPr>
      <w:r w:rsidRPr="00507C4C">
        <w:t>Beneficiari di sponsorizzazioni ed erogazioni liberali</w:t>
      </w:r>
    </w:p>
    <w:p w14:paraId="306F63E2" w14:textId="78B5F1AC" w:rsidR="00507C4C" w:rsidRDefault="00507C4C" w:rsidP="00507C4C">
      <w:pPr>
        <w:pStyle w:val="Paragrafoelenco"/>
        <w:numPr>
          <w:ilvl w:val="0"/>
          <w:numId w:val="31"/>
        </w:numPr>
      </w:pPr>
      <w:r w:rsidRPr="00507C4C">
        <w:t xml:space="preserve">Clienti per </w:t>
      </w:r>
      <w:r w:rsidR="00E409C2">
        <w:t>servizi commerciali</w:t>
      </w:r>
      <w:r w:rsidRPr="00507C4C">
        <w:t xml:space="preserve"> svolt</w:t>
      </w:r>
      <w:r w:rsidR="00E409C2">
        <w:t>i</w:t>
      </w:r>
      <w:r w:rsidRPr="00507C4C">
        <w:t xml:space="preserve"> dal Gruppo RetiAmbiente al di fuori del contratto di servizio sottoscritto con ATO Toscana Costa</w:t>
      </w:r>
    </w:p>
    <w:p w14:paraId="23934B3D" w14:textId="6836F3E6" w:rsidR="00E409C2" w:rsidRDefault="00E409C2" w:rsidP="00507C4C">
      <w:pPr>
        <w:pStyle w:val="Paragrafoelenco"/>
        <w:numPr>
          <w:ilvl w:val="0"/>
          <w:numId w:val="31"/>
        </w:numPr>
      </w:pPr>
      <w:r>
        <w:t>Consorzi di filiera</w:t>
      </w:r>
    </w:p>
    <w:p w14:paraId="6D266D74" w14:textId="3AC27279" w:rsidR="00507C4C" w:rsidRDefault="00507C4C" w:rsidP="00507C4C">
      <w:pPr>
        <w:pStyle w:val="Paragrafoelenco"/>
        <w:numPr>
          <w:ilvl w:val="0"/>
          <w:numId w:val="31"/>
        </w:numPr>
      </w:pPr>
      <w:r w:rsidRPr="00507C4C">
        <w:t>Partner</w:t>
      </w:r>
    </w:p>
    <w:p w14:paraId="4AFD51E1" w14:textId="15CD344C" w:rsidR="00507C4C" w:rsidRDefault="00507C4C" w:rsidP="00507C4C">
      <w:pPr>
        <w:pStyle w:val="Paragrafoelenco"/>
        <w:numPr>
          <w:ilvl w:val="0"/>
          <w:numId w:val="31"/>
        </w:numPr>
      </w:pPr>
      <w:r w:rsidRPr="00507C4C">
        <w:t>Istituti finanziari</w:t>
      </w:r>
    </w:p>
    <w:p w14:paraId="0C958119" w14:textId="6E3C24AE" w:rsidR="00507C4C" w:rsidRDefault="00507C4C" w:rsidP="00507C4C">
      <w:pPr>
        <w:pStyle w:val="Paragrafoelenco"/>
        <w:numPr>
          <w:ilvl w:val="0"/>
          <w:numId w:val="31"/>
        </w:numPr>
      </w:pPr>
      <w:r w:rsidRPr="00507C4C">
        <w:t>Comuni soci</w:t>
      </w:r>
    </w:p>
    <w:p w14:paraId="01948FF5" w14:textId="3738C761" w:rsidR="00507C4C" w:rsidRDefault="00507C4C" w:rsidP="00507C4C">
      <w:pPr>
        <w:pStyle w:val="Paragrafoelenco"/>
        <w:numPr>
          <w:ilvl w:val="0"/>
          <w:numId w:val="31"/>
        </w:numPr>
      </w:pPr>
      <w:r w:rsidRPr="00507C4C">
        <w:t>Ente concedente il servizio dei rifiuti</w:t>
      </w:r>
      <w:r>
        <w:t xml:space="preserve"> (ATO Toscana Costa)</w:t>
      </w:r>
    </w:p>
    <w:p w14:paraId="42AA38A8" w14:textId="1AAE377A" w:rsidR="00507C4C" w:rsidRDefault="00507C4C" w:rsidP="00507C4C">
      <w:pPr>
        <w:pStyle w:val="Paragrafoelenco"/>
        <w:numPr>
          <w:ilvl w:val="0"/>
          <w:numId w:val="31"/>
        </w:numPr>
      </w:pPr>
      <w:r w:rsidRPr="00507C4C">
        <w:t>Società del Gruppo</w:t>
      </w:r>
    </w:p>
    <w:p w14:paraId="2A5A730A" w14:textId="34BBC776" w:rsidR="00507C4C" w:rsidRPr="00507C4C" w:rsidRDefault="00507C4C" w:rsidP="00507C4C">
      <w:pPr>
        <w:pStyle w:val="Paragrafoelenco"/>
        <w:numPr>
          <w:ilvl w:val="0"/>
          <w:numId w:val="31"/>
        </w:numPr>
      </w:pPr>
      <w:r w:rsidRPr="00507C4C">
        <w:t>Utenti tariffa</w:t>
      </w:r>
    </w:p>
    <w:p w14:paraId="1FD9E12F" w14:textId="18786A58" w:rsidR="005C49EE" w:rsidRPr="00962E3E" w:rsidRDefault="00EB7461" w:rsidP="005C49EE">
      <w:r w:rsidRPr="00507C4C">
        <w:t xml:space="preserve">Per il dettaglio dei soci in affari, per ciascuna delle categorie sopra indicate, si rinvia al </w:t>
      </w:r>
      <w:r w:rsidR="00507C4C" w:rsidRPr="00507C4C">
        <w:t xml:space="preserve">MOD01_PG </w:t>
      </w:r>
      <w:r w:rsidR="00A0574F">
        <w:t>107</w:t>
      </w:r>
      <w:r w:rsidR="00507C4C" w:rsidRPr="00507C4C">
        <w:t xml:space="preserve"> - </w:t>
      </w:r>
      <w:r w:rsidR="00507C4C" w:rsidRPr="00507C4C">
        <w:rPr>
          <w:i/>
          <w:iCs/>
        </w:rPr>
        <w:t>Mappatura soci in affari</w:t>
      </w:r>
      <w:r w:rsidRPr="00507C4C">
        <w:t>.</w:t>
      </w:r>
      <w:r w:rsidR="00962E3E">
        <w:t xml:space="preserve"> </w:t>
      </w:r>
      <w:r w:rsidR="005C49EE" w:rsidRPr="00507C4C">
        <w:t xml:space="preserve">La diversa rischiosità attribuita ai soci in affari, specificata nel modulo sopra citato, ha </w:t>
      </w:r>
      <w:r w:rsidR="005C49EE" w:rsidRPr="00962E3E">
        <w:rPr>
          <w:rFonts w:cs="Times New Roman"/>
          <w:iCs/>
          <w:szCs w:val="24"/>
        </w:rPr>
        <w:t xml:space="preserve">determinando una diversa valutazione del rischio corruttivo </w:t>
      </w:r>
      <w:r w:rsidR="00580315">
        <w:rPr>
          <w:rFonts w:cs="Times New Roman"/>
          <w:iCs/>
          <w:szCs w:val="24"/>
        </w:rPr>
        <w:t>nel Risk assessment anticorruzione</w:t>
      </w:r>
      <w:r w:rsidR="005C49EE" w:rsidRPr="00962E3E">
        <w:rPr>
          <w:rFonts w:cs="Times New Roman"/>
          <w:iCs/>
          <w:szCs w:val="24"/>
        </w:rPr>
        <w:t>.</w:t>
      </w:r>
    </w:p>
    <w:p w14:paraId="5B9F7862" w14:textId="7D66B553" w:rsidR="00962E3E" w:rsidRDefault="00962E3E" w:rsidP="00962E3E">
      <w:r>
        <w:lastRenderedPageBreak/>
        <w:t xml:space="preserve">Con cadenza almeno annuale, in occasione del riesame del Responsabile della Funzione di conformità per la prevenzione della corruzione, viene acquisito </w:t>
      </w:r>
      <w:r w:rsidR="001F5FBE">
        <w:t>da quest’ultimo</w:t>
      </w:r>
      <w:r>
        <w:t xml:space="preserve"> l’elenco:</w:t>
      </w:r>
    </w:p>
    <w:p w14:paraId="3B7A497D" w14:textId="77777777" w:rsidR="00962E3E" w:rsidRDefault="00962E3E" w:rsidP="00962E3E">
      <w:pPr>
        <w:pStyle w:val="Paragrafoelenco"/>
        <w:numPr>
          <w:ilvl w:val="0"/>
          <w:numId w:val="35"/>
        </w:numPr>
      </w:pPr>
      <w:r>
        <w:t xml:space="preserve">dei beneficiari di sponsorizzazioni ed erogazioni liberali; </w:t>
      </w:r>
    </w:p>
    <w:p w14:paraId="55C12BA7" w14:textId="77777777" w:rsidR="00962E3E" w:rsidRDefault="00962E3E" w:rsidP="00962E3E">
      <w:pPr>
        <w:pStyle w:val="Paragrafoelenco"/>
        <w:numPr>
          <w:ilvl w:val="0"/>
          <w:numId w:val="35"/>
        </w:numPr>
      </w:pPr>
      <w:r>
        <w:t>dei clienti con cui sono stati intrattenuti rapporti commerciali;</w:t>
      </w:r>
    </w:p>
    <w:p w14:paraId="6A18DBC8" w14:textId="77777777" w:rsidR="00962E3E" w:rsidRDefault="00962E3E" w:rsidP="00EB7461">
      <w:pPr>
        <w:pStyle w:val="Paragrafoelenco"/>
        <w:numPr>
          <w:ilvl w:val="0"/>
          <w:numId w:val="35"/>
        </w:numPr>
      </w:pPr>
      <w:r>
        <w:t>dei partner;</w:t>
      </w:r>
    </w:p>
    <w:p w14:paraId="59CD4AE6" w14:textId="747F9852" w:rsidR="00580315" w:rsidRDefault="00962E3E" w:rsidP="000A7382">
      <w:pPr>
        <w:pStyle w:val="Paragrafoelenco"/>
        <w:numPr>
          <w:ilvl w:val="0"/>
          <w:numId w:val="35"/>
        </w:numPr>
      </w:pPr>
      <w:r>
        <w:t>degli istituti finanziari con cui sono in essere rapporti finanziari</w:t>
      </w:r>
      <w:r w:rsidR="000A7382">
        <w:t>.</w:t>
      </w:r>
    </w:p>
    <w:p w14:paraId="3AE140E2" w14:textId="72563107" w:rsidR="00507C4C" w:rsidRDefault="00507C4C" w:rsidP="00EB7461">
      <w:pPr>
        <w:rPr>
          <w:rFonts w:cs="Times New Roman"/>
          <w:b/>
          <w:bCs/>
          <w:iCs/>
          <w:szCs w:val="24"/>
          <w:u w:val="single"/>
        </w:rPr>
      </w:pPr>
    </w:p>
    <w:p w14:paraId="6CF839D7" w14:textId="30C7C879" w:rsidR="00EB7461" w:rsidRPr="003A4C23" w:rsidRDefault="003A4C23" w:rsidP="003A4C23">
      <w:pPr>
        <w:pStyle w:val="Titolo2"/>
      </w:pPr>
      <w:bookmarkStart w:id="6" w:name="_Toc156660341"/>
      <w:r>
        <w:t xml:space="preserve">1.3. </w:t>
      </w:r>
      <w:r w:rsidR="00EB7461" w:rsidRPr="003A4C23">
        <w:t>Modello commerciale</w:t>
      </w:r>
      <w:bookmarkEnd w:id="6"/>
      <w:r w:rsidR="002E4FB7" w:rsidRPr="003A4C23">
        <w:t xml:space="preserve"> </w:t>
      </w:r>
    </w:p>
    <w:p w14:paraId="09CFE67E" w14:textId="3C2BDAE8" w:rsidR="00EB7461" w:rsidRPr="003A4C23" w:rsidRDefault="00EB7461" w:rsidP="00EB7461">
      <w:pPr>
        <w:rPr>
          <w:rFonts w:cs="Times New Roman"/>
          <w:iCs/>
          <w:szCs w:val="24"/>
        </w:rPr>
      </w:pPr>
      <w:r w:rsidRPr="003A4C23">
        <w:rPr>
          <w:rFonts w:cs="Times New Roman"/>
          <w:iCs/>
          <w:szCs w:val="24"/>
        </w:rPr>
        <w:t>Oltre alla gestione delle attività relative al ciclo integrato dei rifiuti affidat</w:t>
      </w:r>
      <w:r w:rsidR="003A4C23" w:rsidRPr="003A4C23">
        <w:rPr>
          <w:rFonts w:cs="Times New Roman"/>
          <w:iCs/>
          <w:szCs w:val="24"/>
        </w:rPr>
        <w:t>e</w:t>
      </w:r>
      <w:r w:rsidRPr="003A4C23">
        <w:rPr>
          <w:rFonts w:cs="Times New Roman"/>
          <w:iCs/>
          <w:szCs w:val="24"/>
        </w:rPr>
        <w:t xml:space="preserve"> dall’ATO Toscana Costa</w:t>
      </w:r>
      <w:r w:rsidR="003A4C23" w:rsidRPr="003A4C23">
        <w:rPr>
          <w:rFonts w:cs="Times New Roman"/>
          <w:iCs/>
          <w:szCs w:val="24"/>
        </w:rPr>
        <w:t xml:space="preserve"> (per cui si rinvia al paragrafo Obblighi e adempimenti di legge, normativi e contrattuali per un maggiore dettaglio)</w:t>
      </w:r>
      <w:r w:rsidRPr="003A4C23">
        <w:rPr>
          <w:rFonts w:cs="Times New Roman"/>
          <w:iCs/>
          <w:szCs w:val="24"/>
        </w:rPr>
        <w:t xml:space="preserve">, le Società del Gruppo </w:t>
      </w:r>
      <w:r w:rsidR="003A4C23" w:rsidRPr="003A4C23">
        <w:rPr>
          <w:rFonts w:cs="Times New Roman"/>
          <w:iCs/>
          <w:szCs w:val="24"/>
        </w:rPr>
        <w:t xml:space="preserve">RetiAmbiente </w:t>
      </w:r>
      <w:r w:rsidRPr="003A4C23">
        <w:rPr>
          <w:rFonts w:cs="Times New Roman"/>
          <w:iCs/>
          <w:szCs w:val="24"/>
        </w:rPr>
        <w:t>possono svolgere attività commerciali entro il limite del 20% del fatturato aziendale.</w:t>
      </w:r>
    </w:p>
    <w:p w14:paraId="07CA2D25" w14:textId="01EADD1D" w:rsidR="00EB7461" w:rsidRDefault="00EB7461" w:rsidP="00EB7461">
      <w:pPr>
        <w:rPr>
          <w:rFonts w:cs="Times New Roman"/>
          <w:iCs/>
          <w:szCs w:val="24"/>
        </w:rPr>
      </w:pPr>
      <w:r w:rsidRPr="003A4C23">
        <w:rPr>
          <w:rFonts w:cs="Times New Roman"/>
          <w:iCs/>
          <w:szCs w:val="24"/>
        </w:rPr>
        <w:t>La Capogruppo non realizza attività commerciali nei confronti di soggetti pubblici e privati al di fuori di quanto previsto nel contratto di servizio con ATO Toscana Costa. Sono presenti unicamente dei rapporti di service dalla Capogruppo alle SOL</w:t>
      </w:r>
      <w:r w:rsidR="003A4C23">
        <w:rPr>
          <w:rFonts w:cs="Times New Roman"/>
          <w:iCs/>
          <w:szCs w:val="24"/>
        </w:rPr>
        <w:t xml:space="preserve">. In particolare, come previsto anche dal REG06 - </w:t>
      </w:r>
      <w:r w:rsidR="003A4C23" w:rsidRPr="003A4C23">
        <w:rPr>
          <w:rFonts w:cs="Times New Roman"/>
          <w:i/>
          <w:szCs w:val="24"/>
        </w:rPr>
        <w:t>Regolamento di Gruppo</w:t>
      </w:r>
      <w:r w:rsidR="003A4C23">
        <w:rPr>
          <w:rFonts w:cs="Times New Roman"/>
          <w:iCs/>
          <w:szCs w:val="24"/>
        </w:rPr>
        <w:t>, la Capogruppo svolge, in favore delle società controllate e nei limiti delle risorse a disposizione, le funzioni di stazione appaltante per le procedure di gara ed i conseguenti approvvigionamenti di lavori, servizi e forniture strategici di Gruppo superiori alla soglia comunitaria, nonché funzioni di supporto e assistenza per gli approvvigionamenti delle singole SOL.</w:t>
      </w:r>
    </w:p>
    <w:p w14:paraId="72328ED9" w14:textId="26A917C2" w:rsidR="00EB7461" w:rsidRPr="00580315" w:rsidRDefault="003E3298" w:rsidP="00EB7461">
      <w:r>
        <w:rPr>
          <w:rFonts w:cs="Times New Roman"/>
          <w:iCs/>
          <w:szCs w:val="24"/>
        </w:rPr>
        <w:t xml:space="preserve">Alcune </w:t>
      </w:r>
      <w:r w:rsidR="0019074F">
        <w:rPr>
          <w:rFonts w:cs="Times New Roman"/>
          <w:iCs/>
          <w:szCs w:val="24"/>
        </w:rPr>
        <w:t xml:space="preserve">SOL, invece, svolgono specifiche attività commerciali </w:t>
      </w:r>
      <w:r w:rsidR="0019074F" w:rsidRPr="0019074F">
        <w:rPr>
          <w:rFonts w:cs="Times New Roman"/>
          <w:iCs/>
          <w:szCs w:val="24"/>
        </w:rPr>
        <w:t>al di fuori del contratto di servizio sottoscritto con ATO Toscana Costa</w:t>
      </w:r>
      <w:r w:rsidR="0019074F">
        <w:rPr>
          <w:rFonts w:cs="Times New Roman"/>
          <w:iCs/>
          <w:szCs w:val="24"/>
        </w:rPr>
        <w:t xml:space="preserve">. </w:t>
      </w:r>
      <w:r w:rsidR="00580315">
        <w:t xml:space="preserve">Con cadenza almeno annuale, in occasione del riesame del Responsabile della Funzione di conformità per la prevenzione della corruzione, viene </w:t>
      </w:r>
      <w:r w:rsidR="001F5FBE">
        <w:t xml:space="preserve">acquisito da quest’ultimo </w:t>
      </w:r>
      <w:r w:rsidR="00580315">
        <w:t xml:space="preserve">l’elenco dei clienti con cui sono stati intrattenuti rapporti commerciali, analizzando </w:t>
      </w:r>
      <w:r w:rsidR="0019074F">
        <w:rPr>
          <w:rFonts w:cs="Times New Roman"/>
          <w:iCs/>
          <w:szCs w:val="24"/>
        </w:rPr>
        <w:t xml:space="preserve">l’incidenza di questi ultimi sul fatturato e la numerosità. </w:t>
      </w:r>
    </w:p>
    <w:p w14:paraId="3BAA959F" w14:textId="77777777" w:rsidR="0019074F" w:rsidRPr="000E39AB" w:rsidRDefault="0019074F" w:rsidP="00EB7461">
      <w:pPr>
        <w:rPr>
          <w:rFonts w:cs="Times New Roman"/>
          <w:i/>
          <w:szCs w:val="24"/>
        </w:rPr>
      </w:pPr>
    </w:p>
    <w:p w14:paraId="189F13B2" w14:textId="6C69BB99" w:rsidR="00EB7461" w:rsidRPr="000E39AB" w:rsidRDefault="003A4C23" w:rsidP="003A4C23">
      <w:pPr>
        <w:pStyle w:val="Titolo2"/>
      </w:pPr>
      <w:bookmarkStart w:id="7" w:name="_Toc156660342"/>
      <w:r>
        <w:t xml:space="preserve">1.4. </w:t>
      </w:r>
      <w:r w:rsidR="00EB7461" w:rsidRPr="000E39AB">
        <w:t>Enti controllanti e controllati</w:t>
      </w:r>
      <w:bookmarkEnd w:id="7"/>
      <w:r w:rsidR="002E4FB7">
        <w:t xml:space="preserve"> </w:t>
      </w:r>
    </w:p>
    <w:p w14:paraId="29C346B1" w14:textId="57399D71" w:rsidR="00EB7461" w:rsidRPr="0019074F" w:rsidRDefault="00EB7461" w:rsidP="00EB7461">
      <w:pPr>
        <w:rPr>
          <w:rFonts w:cs="Times New Roman"/>
          <w:bCs/>
          <w:iCs/>
          <w:szCs w:val="24"/>
        </w:rPr>
      </w:pPr>
      <w:r w:rsidRPr="0019074F">
        <w:rPr>
          <w:rFonts w:cs="Times New Roman"/>
          <w:szCs w:val="24"/>
        </w:rPr>
        <w:t xml:space="preserve">Il capitale sociale di </w:t>
      </w:r>
      <w:r w:rsidRPr="0019074F">
        <w:rPr>
          <w:rFonts w:cs="Times New Roman"/>
          <w:bCs/>
          <w:iCs/>
          <w:szCs w:val="24"/>
        </w:rPr>
        <w:t>RetiAmbiente S.p.A. è interamente detenuto dai Comuni facenti parte dell’ATO Toscana Costa</w:t>
      </w:r>
      <w:r w:rsidR="0019074F" w:rsidRPr="0019074F">
        <w:rPr>
          <w:rFonts w:cs="Times New Roman"/>
          <w:bCs/>
          <w:iCs/>
          <w:szCs w:val="24"/>
        </w:rPr>
        <w:t xml:space="preserve"> (si rinvia al seguente link per l’elenco dei Comuni soci </w:t>
      </w:r>
      <w:hyperlink r:id="rId13" w:history="1">
        <w:r w:rsidR="0019074F" w:rsidRPr="0019074F">
          <w:rPr>
            <w:rStyle w:val="Collegamentoipertestuale"/>
            <w:rFonts w:cs="Times New Roman"/>
            <w:bCs/>
            <w:iCs/>
            <w:szCs w:val="24"/>
          </w:rPr>
          <w:t>https://www.retiambiente.it/wp-content/uploads/2022/04/COMUNI-SOCI.pdf</w:t>
        </w:r>
      </w:hyperlink>
      <w:r w:rsidR="0019074F" w:rsidRPr="0019074F">
        <w:rPr>
          <w:rFonts w:cs="Times New Roman"/>
          <w:bCs/>
          <w:iCs/>
          <w:szCs w:val="24"/>
        </w:rPr>
        <w:t xml:space="preserve"> )</w:t>
      </w:r>
      <w:r w:rsidRPr="0019074F">
        <w:rPr>
          <w:rFonts w:cs="Times New Roman"/>
          <w:bCs/>
          <w:iCs/>
          <w:szCs w:val="24"/>
        </w:rPr>
        <w:t xml:space="preserve">. Il Comune con la maggiore partecipazione azionaria è quello di Livorno, con il 33% del capitale sociale. </w:t>
      </w:r>
    </w:p>
    <w:p w14:paraId="22C5FA8F" w14:textId="77777777" w:rsidR="00A0574F" w:rsidRDefault="00EB7461" w:rsidP="0019074F">
      <w:pPr>
        <w:rPr>
          <w:rFonts w:cs="Times New Roman"/>
          <w:bCs/>
          <w:iCs/>
          <w:szCs w:val="24"/>
        </w:rPr>
      </w:pPr>
      <w:r w:rsidRPr="0019074F">
        <w:rPr>
          <w:rFonts w:cs="Times New Roman"/>
          <w:bCs/>
          <w:iCs/>
          <w:szCs w:val="24"/>
        </w:rPr>
        <w:lastRenderedPageBreak/>
        <w:t>RetiAmbiente S.p.A. detiene ad oggi l’intero capitale sociale di otto SOL</w:t>
      </w:r>
      <w:r w:rsidR="0019074F" w:rsidRPr="0019074F">
        <w:rPr>
          <w:rFonts w:cs="Times New Roman"/>
          <w:bCs/>
          <w:iCs/>
          <w:szCs w:val="24"/>
        </w:rPr>
        <w:t>, come indicato al paragrafo 1.1.</w:t>
      </w:r>
      <w:r w:rsidR="0019074F">
        <w:rPr>
          <w:rFonts w:cs="Times New Roman"/>
          <w:bCs/>
          <w:iCs/>
          <w:szCs w:val="24"/>
        </w:rPr>
        <w:t xml:space="preserve"> </w:t>
      </w:r>
    </w:p>
    <w:p w14:paraId="2D9F2927" w14:textId="12C17584" w:rsidR="00EB7461" w:rsidRDefault="0019074F" w:rsidP="0019074F">
      <w:pPr>
        <w:rPr>
          <w:rFonts w:cs="Times New Roman"/>
          <w:bCs/>
          <w:iCs/>
          <w:szCs w:val="24"/>
        </w:rPr>
      </w:pPr>
      <w:r>
        <w:rPr>
          <w:rFonts w:cs="Times New Roman"/>
          <w:bCs/>
          <w:iCs/>
          <w:szCs w:val="24"/>
        </w:rPr>
        <w:t>RetiAmbiente non detiene partecipazioni in altri enti/società.</w:t>
      </w:r>
    </w:p>
    <w:p w14:paraId="4164E08D" w14:textId="546A4CC4" w:rsidR="005114E8" w:rsidRDefault="005114E8" w:rsidP="0019074F">
      <w:pPr>
        <w:rPr>
          <w:rFonts w:cs="Times New Roman"/>
          <w:bCs/>
          <w:iCs/>
          <w:szCs w:val="24"/>
        </w:rPr>
      </w:pPr>
      <w:r>
        <w:rPr>
          <w:rFonts w:cs="Times New Roman"/>
          <w:bCs/>
          <w:iCs/>
          <w:szCs w:val="24"/>
        </w:rPr>
        <w:t>Le SOL hanno delle partecipazioni in alcuni enti/società (come risulta dal sito internet di ciascuna, sezione “</w:t>
      </w:r>
      <w:r w:rsidRPr="005114E8">
        <w:rPr>
          <w:rFonts w:cs="Times New Roman"/>
          <w:bCs/>
          <w:i/>
          <w:szCs w:val="24"/>
        </w:rPr>
        <w:t>Società trasparente – Enti controllati</w:t>
      </w:r>
      <w:r>
        <w:rPr>
          <w:rFonts w:cs="Times New Roman"/>
          <w:bCs/>
          <w:iCs/>
          <w:szCs w:val="24"/>
        </w:rPr>
        <w:t>”), ma con percentuali che non determinano una situazione di controllo.</w:t>
      </w:r>
    </w:p>
    <w:p w14:paraId="35164587" w14:textId="2E031F31" w:rsidR="005114E8" w:rsidRPr="0005761E" w:rsidRDefault="005114E8" w:rsidP="0019074F">
      <w:pPr>
        <w:rPr>
          <w:rFonts w:cs="Times New Roman"/>
          <w:bCs/>
          <w:iCs/>
          <w:szCs w:val="24"/>
        </w:rPr>
      </w:pPr>
      <w:r>
        <w:rPr>
          <w:rFonts w:cs="Times New Roman"/>
          <w:bCs/>
          <w:iCs/>
          <w:szCs w:val="24"/>
        </w:rPr>
        <w:t>La Capogruppo</w:t>
      </w:r>
      <w:r w:rsidR="00A0574F">
        <w:rPr>
          <w:rFonts w:cs="Times New Roman"/>
          <w:bCs/>
          <w:iCs/>
          <w:szCs w:val="24"/>
        </w:rPr>
        <w:t xml:space="preserve"> </w:t>
      </w:r>
      <w:r>
        <w:rPr>
          <w:rFonts w:cs="Times New Roman"/>
          <w:bCs/>
          <w:iCs/>
          <w:szCs w:val="24"/>
        </w:rPr>
        <w:t xml:space="preserve">e le SOL hanno implementato un sistema di gestione per la </w:t>
      </w:r>
      <w:r w:rsidRPr="0005761E">
        <w:rPr>
          <w:rFonts w:cs="Times New Roman"/>
          <w:bCs/>
          <w:iCs/>
          <w:szCs w:val="24"/>
        </w:rPr>
        <w:t>prevenzione della corruzione conforme ai requisiti della norma UNI ISO 37001:2016.</w:t>
      </w:r>
    </w:p>
    <w:p w14:paraId="3677940A" w14:textId="39C9EE3C" w:rsidR="00EB7461" w:rsidRPr="000E39AB" w:rsidRDefault="00EB7461" w:rsidP="0005761E">
      <w:pPr>
        <w:rPr>
          <w:rFonts w:cs="Times New Roman"/>
          <w:szCs w:val="24"/>
        </w:rPr>
      </w:pPr>
      <w:r w:rsidRPr="0005761E">
        <w:rPr>
          <w:rFonts w:cs="Times New Roman"/>
          <w:szCs w:val="24"/>
        </w:rPr>
        <w:t xml:space="preserve">Un sistema di gestione anticorruzione di Gruppo permette di assicurare una maggiore direzione e coordinamento da parte della Capogruppo sulle SOL e un maggior controllo sull’attuazione della regolamentazione in materia di prevenzione della corruzione. </w:t>
      </w:r>
    </w:p>
    <w:p w14:paraId="24772711" w14:textId="77777777" w:rsidR="00EB7461" w:rsidRPr="000E39AB" w:rsidRDefault="00EB7461" w:rsidP="00EB7461">
      <w:pPr>
        <w:rPr>
          <w:rFonts w:cs="Times New Roman"/>
          <w:bCs/>
          <w:iCs/>
          <w:szCs w:val="24"/>
        </w:rPr>
      </w:pPr>
    </w:p>
    <w:p w14:paraId="0A226C14" w14:textId="087A891B" w:rsidR="00EB7461" w:rsidRPr="000E39AB" w:rsidRDefault="003A4C23" w:rsidP="003A4C23">
      <w:pPr>
        <w:pStyle w:val="Titolo2"/>
      </w:pPr>
      <w:bookmarkStart w:id="8" w:name="_Toc156660343"/>
      <w:r>
        <w:t xml:space="preserve">1.5. </w:t>
      </w:r>
      <w:r w:rsidR="00EB7461" w:rsidRPr="000E39AB">
        <w:t>Obblighi e adempimenti di legge, normativi e contrattuali</w:t>
      </w:r>
      <w:bookmarkEnd w:id="8"/>
      <w:r w:rsidR="002E4FB7">
        <w:t xml:space="preserve"> </w:t>
      </w:r>
    </w:p>
    <w:p w14:paraId="6598F7E1" w14:textId="20EB9E9F" w:rsidR="00EB7461" w:rsidRPr="0005761E" w:rsidRDefault="00EB7461" w:rsidP="00EB7461">
      <w:pPr>
        <w:rPr>
          <w:rFonts w:cs="Times New Roman"/>
          <w:bCs/>
          <w:iCs/>
          <w:szCs w:val="24"/>
        </w:rPr>
      </w:pPr>
      <w:r w:rsidRPr="0005761E">
        <w:rPr>
          <w:rFonts w:cs="Times New Roman"/>
          <w:bCs/>
          <w:iCs/>
          <w:szCs w:val="24"/>
        </w:rPr>
        <w:t xml:space="preserve">Come previsto nella delibera di affidamento del servizio dell’ATO </w:t>
      </w:r>
      <w:r w:rsidR="0005761E" w:rsidRPr="0005761E">
        <w:rPr>
          <w:rFonts w:cs="Times New Roman"/>
          <w:bCs/>
          <w:iCs/>
          <w:szCs w:val="24"/>
        </w:rPr>
        <w:t xml:space="preserve">Toscana Costa </w:t>
      </w:r>
      <w:r w:rsidRPr="0005761E">
        <w:rPr>
          <w:rFonts w:cs="Times New Roman"/>
          <w:bCs/>
          <w:iCs/>
          <w:szCs w:val="24"/>
        </w:rPr>
        <w:t>e nel contratto di servizio stipulato tra quest’ultima e RetiAmbiente S.p.A., la Capogruppo e le SOL sono solidalmente obbligate verso l’</w:t>
      </w:r>
      <w:r w:rsidR="0005761E" w:rsidRPr="0005761E">
        <w:rPr>
          <w:rFonts w:cs="Times New Roman"/>
          <w:bCs/>
          <w:iCs/>
          <w:szCs w:val="24"/>
        </w:rPr>
        <w:t xml:space="preserve">ATO stessa </w:t>
      </w:r>
      <w:r w:rsidRPr="0005761E">
        <w:rPr>
          <w:rFonts w:cs="Times New Roman"/>
          <w:bCs/>
          <w:iCs/>
          <w:szCs w:val="24"/>
        </w:rPr>
        <w:t>e i terzi all’ottemperanza di tutti gli adempimenti contrattuali derivanti dal Contratto di Servizio. Al fine di adempiere alle prescrizioni dell’ATO, secondo le quali RetiAmbiente S.p.A. si può avvalere delle proprie società controllate nella gestione del servizio unicamente previa indicazione dei ruoli, attività, meccanismi di raccordo e di utilizzo delle risorse, è stato adottato uno specifico Regolamento di Gruppo</w:t>
      </w:r>
      <w:r w:rsidR="0005761E" w:rsidRPr="0005761E">
        <w:rPr>
          <w:rFonts w:cs="Times New Roman"/>
          <w:bCs/>
          <w:iCs/>
          <w:szCs w:val="24"/>
        </w:rPr>
        <w:t xml:space="preserve"> (REG06)</w:t>
      </w:r>
      <w:r w:rsidRPr="0005761E">
        <w:rPr>
          <w:rFonts w:cs="Times New Roman"/>
          <w:bCs/>
          <w:iCs/>
          <w:szCs w:val="24"/>
        </w:rPr>
        <w:t xml:space="preserve">. </w:t>
      </w:r>
    </w:p>
    <w:p w14:paraId="386A70EB" w14:textId="77777777" w:rsidR="00EB7461" w:rsidRPr="0005761E" w:rsidRDefault="00EB7461" w:rsidP="00EB7461">
      <w:pPr>
        <w:rPr>
          <w:rFonts w:cs="Times New Roman"/>
          <w:bCs/>
          <w:iCs/>
          <w:szCs w:val="24"/>
        </w:rPr>
      </w:pPr>
      <w:r w:rsidRPr="0005761E">
        <w:rPr>
          <w:rFonts w:cs="Times New Roman"/>
          <w:bCs/>
          <w:iCs/>
          <w:szCs w:val="24"/>
        </w:rPr>
        <w:t>Il Regolamento, in particolare, ha l’obiettivo di:</w:t>
      </w:r>
    </w:p>
    <w:p w14:paraId="749D5571" w14:textId="77777777" w:rsidR="0005761E" w:rsidRPr="0005761E" w:rsidRDefault="00EB7461" w:rsidP="00EB7461">
      <w:pPr>
        <w:pStyle w:val="Paragrafoelenco"/>
        <w:numPr>
          <w:ilvl w:val="0"/>
          <w:numId w:val="32"/>
        </w:numPr>
        <w:rPr>
          <w:rFonts w:cs="Times New Roman"/>
          <w:bCs/>
          <w:iCs/>
          <w:szCs w:val="24"/>
        </w:rPr>
      </w:pPr>
      <w:r w:rsidRPr="0005761E">
        <w:rPr>
          <w:rFonts w:cs="Times New Roman"/>
          <w:bCs/>
          <w:iCs/>
          <w:szCs w:val="24"/>
        </w:rPr>
        <w:t>regolare i rapporti operativi tra la Capogruppo e le SOL;</w:t>
      </w:r>
    </w:p>
    <w:p w14:paraId="7A98CA5B" w14:textId="77777777" w:rsidR="0005761E" w:rsidRPr="0005761E" w:rsidRDefault="00EB7461" w:rsidP="00EB7461">
      <w:pPr>
        <w:pStyle w:val="Paragrafoelenco"/>
        <w:numPr>
          <w:ilvl w:val="0"/>
          <w:numId w:val="32"/>
        </w:numPr>
        <w:rPr>
          <w:rFonts w:cs="Times New Roman"/>
          <w:bCs/>
          <w:iCs/>
          <w:szCs w:val="24"/>
        </w:rPr>
      </w:pPr>
      <w:r w:rsidRPr="0005761E">
        <w:rPr>
          <w:rFonts w:cs="Times New Roman"/>
          <w:bCs/>
          <w:iCs/>
          <w:szCs w:val="24"/>
        </w:rPr>
        <w:t>definire e formalizzare le relazioni del Gruppo con gli altri soggetti attori del processo di gestione;</w:t>
      </w:r>
    </w:p>
    <w:p w14:paraId="6F8A16B5" w14:textId="77777777" w:rsidR="0005761E" w:rsidRPr="0005761E" w:rsidRDefault="00EB7461" w:rsidP="00EB7461">
      <w:pPr>
        <w:pStyle w:val="Paragrafoelenco"/>
        <w:numPr>
          <w:ilvl w:val="0"/>
          <w:numId w:val="32"/>
        </w:numPr>
        <w:rPr>
          <w:rFonts w:cs="Times New Roman"/>
          <w:bCs/>
          <w:iCs/>
          <w:szCs w:val="24"/>
        </w:rPr>
      </w:pPr>
      <w:r w:rsidRPr="0005761E">
        <w:rPr>
          <w:rFonts w:cs="Times New Roman"/>
          <w:bCs/>
          <w:iCs/>
          <w:szCs w:val="24"/>
        </w:rPr>
        <w:t>favorire la condivisione e standardizzazione di processi e procedure aziendali;</w:t>
      </w:r>
    </w:p>
    <w:p w14:paraId="7FFED80B" w14:textId="77777777" w:rsidR="0005761E" w:rsidRPr="0005761E" w:rsidRDefault="00EB7461" w:rsidP="00EB7461">
      <w:pPr>
        <w:pStyle w:val="Paragrafoelenco"/>
        <w:numPr>
          <w:ilvl w:val="0"/>
          <w:numId w:val="32"/>
        </w:numPr>
        <w:rPr>
          <w:rFonts w:cs="Times New Roman"/>
          <w:bCs/>
          <w:iCs/>
          <w:szCs w:val="24"/>
        </w:rPr>
      </w:pPr>
      <w:r w:rsidRPr="0005761E">
        <w:rPr>
          <w:rFonts w:cs="Times New Roman"/>
          <w:bCs/>
          <w:iCs/>
          <w:szCs w:val="24"/>
        </w:rPr>
        <w:t>diffondere un corretto approccio alle procedure amministrative;</w:t>
      </w:r>
    </w:p>
    <w:p w14:paraId="72564BA4" w14:textId="3D30461F" w:rsidR="00EB7461" w:rsidRPr="0005761E" w:rsidRDefault="00EB7461" w:rsidP="00EB7461">
      <w:pPr>
        <w:pStyle w:val="Paragrafoelenco"/>
        <w:numPr>
          <w:ilvl w:val="0"/>
          <w:numId w:val="32"/>
        </w:numPr>
        <w:rPr>
          <w:rFonts w:cs="Times New Roman"/>
          <w:bCs/>
          <w:iCs/>
          <w:szCs w:val="24"/>
        </w:rPr>
      </w:pPr>
      <w:r w:rsidRPr="0005761E">
        <w:rPr>
          <w:rFonts w:cs="Times New Roman"/>
          <w:bCs/>
          <w:iCs/>
          <w:szCs w:val="24"/>
        </w:rPr>
        <w:t>promuovere attivamente la sicurezza sul lavoro e la collaborazione tra le SOL.</w:t>
      </w:r>
    </w:p>
    <w:p w14:paraId="700BED68" w14:textId="77777777" w:rsidR="002A7964" w:rsidRPr="002A7964" w:rsidRDefault="00EB7461" w:rsidP="00EB7461">
      <w:pPr>
        <w:rPr>
          <w:rFonts w:cs="Times New Roman"/>
          <w:bCs/>
          <w:iCs/>
          <w:szCs w:val="24"/>
        </w:rPr>
      </w:pPr>
      <w:r w:rsidRPr="002A7964">
        <w:rPr>
          <w:rFonts w:cs="Times New Roman"/>
          <w:bCs/>
          <w:iCs/>
          <w:szCs w:val="24"/>
        </w:rPr>
        <w:t xml:space="preserve">In riferimento alla regolamentazione interna, oltre al Regolamento di Gruppo sopra citato, sono previsti </w:t>
      </w:r>
      <w:r w:rsidR="002A7964" w:rsidRPr="002A7964">
        <w:rPr>
          <w:rFonts w:cs="Times New Roman"/>
          <w:bCs/>
          <w:iCs/>
          <w:szCs w:val="24"/>
        </w:rPr>
        <w:t xml:space="preserve">specifiche procedure e regolamenti di Gruppo, per un dettaglio delle quali si rinvia al </w:t>
      </w:r>
    </w:p>
    <w:p w14:paraId="71D40080" w14:textId="4D8FFC38" w:rsidR="00EB7461" w:rsidRPr="002A7964" w:rsidRDefault="002A7964" w:rsidP="00EB7461">
      <w:pPr>
        <w:rPr>
          <w:rFonts w:cs="Times New Roman"/>
          <w:bCs/>
          <w:iCs/>
          <w:szCs w:val="24"/>
        </w:rPr>
      </w:pPr>
      <w:r w:rsidRPr="002A7964">
        <w:rPr>
          <w:rFonts w:cs="Times New Roman"/>
          <w:bCs/>
          <w:iCs/>
          <w:szCs w:val="24"/>
        </w:rPr>
        <w:t xml:space="preserve">MOD01_PG 101 </w:t>
      </w:r>
      <w:r w:rsidRPr="002A7964">
        <w:rPr>
          <w:rFonts w:cs="Times New Roman"/>
          <w:bCs/>
          <w:i/>
          <w:szCs w:val="24"/>
        </w:rPr>
        <w:t>- Elenco documenti sistema</w:t>
      </w:r>
      <w:r w:rsidRPr="002A7964">
        <w:rPr>
          <w:rFonts w:cs="Times New Roman"/>
          <w:bCs/>
          <w:iCs/>
          <w:szCs w:val="24"/>
        </w:rPr>
        <w:t>.</w:t>
      </w:r>
    </w:p>
    <w:p w14:paraId="0F57AEF4" w14:textId="03F3E3B9" w:rsidR="00EB7461" w:rsidRPr="002A7964" w:rsidRDefault="00EB7461" w:rsidP="00EB7461">
      <w:pPr>
        <w:rPr>
          <w:rFonts w:cs="Times New Roman"/>
          <w:bCs/>
          <w:iCs/>
          <w:szCs w:val="24"/>
        </w:rPr>
      </w:pPr>
      <w:r w:rsidRPr="002A7964">
        <w:rPr>
          <w:rFonts w:cs="Times New Roman"/>
          <w:bCs/>
          <w:iCs/>
          <w:szCs w:val="24"/>
        </w:rPr>
        <w:lastRenderedPageBreak/>
        <w:t xml:space="preserve">A livello normativo </w:t>
      </w:r>
      <w:r w:rsidR="002A7964" w:rsidRPr="002A7964">
        <w:rPr>
          <w:rFonts w:cs="Times New Roman"/>
          <w:bCs/>
          <w:iCs/>
          <w:szCs w:val="24"/>
        </w:rPr>
        <w:t>il Gruppo RetiAmbiente è soggetto</w:t>
      </w:r>
      <w:r w:rsidRPr="002A7964">
        <w:rPr>
          <w:rFonts w:cs="Times New Roman"/>
          <w:bCs/>
          <w:iCs/>
          <w:szCs w:val="24"/>
        </w:rPr>
        <w:t xml:space="preserve"> alle disposizioni contenute nel </w:t>
      </w:r>
      <w:r w:rsidR="002A7964" w:rsidRPr="002A7964">
        <w:rPr>
          <w:rFonts w:cs="Times New Roman"/>
          <w:bCs/>
          <w:iCs/>
          <w:szCs w:val="24"/>
        </w:rPr>
        <w:t xml:space="preserve">MOD16_PTPCT - </w:t>
      </w:r>
      <w:r w:rsidR="002A7964" w:rsidRPr="002A7964">
        <w:rPr>
          <w:rFonts w:cs="Times New Roman"/>
          <w:bCs/>
          <w:i/>
          <w:szCs w:val="24"/>
        </w:rPr>
        <w:t>Registro della normativa applicabile in materia di prevenzione della corruzione</w:t>
      </w:r>
      <w:r w:rsidRPr="002A7964">
        <w:rPr>
          <w:rFonts w:cs="Times New Roman"/>
          <w:bCs/>
          <w:iCs/>
          <w:szCs w:val="24"/>
        </w:rPr>
        <w:t>, a cui si rinvia. Il RFC e il RPCT valutano, almeno con cadenza annuale, lo status di aggiornamento del registro e procedono a diffondere la versione aggiornata a</w:t>
      </w:r>
      <w:r w:rsidR="00A0574F">
        <w:rPr>
          <w:rFonts w:cs="Times New Roman"/>
          <w:bCs/>
          <w:iCs/>
          <w:szCs w:val="24"/>
        </w:rPr>
        <w:t>i propri referenti all’interno di ciascuna SOL</w:t>
      </w:r>
      <w:r w:rsidRPr="002A7964">
        <w:rPr>
          <w:rFonts w:cs="Times New Roman"/>
          <w:bCs/>
          <w:iCs/>
          <w:szCs w:val="24"/>
        </w:rPr>
        <w:t xml:space="preserve">. Per verificare l’aggiornamento del registro il RFC e il RPCT richiedono a ciascun Responsabile dei processi sensibili ai rischi corruttivi di verificare le normative indicate per quanto di loro competenza. </w:t>
      </w:r>
    </w:p>
    <w:p w14:paraId="31DF7001" w14:textId="77777777" w:rsidR="00EB7461" w:rsidRPr="000E39AB" w:rsidRDefault="00EB7461" w:rsidP="00EB7461">
      <w:pPr>
        <w:rPr>
          <w:rFonts w:cs="Times New Roman"/>
          <w:bCs/>
          <w:iCs/>
          <w:szCs w:val="24"/>
        </w:rPr>
      </w:pPr>
      <w:r w:rsidRPr="002A7964">
        <w:rPr>
          <w:rFonts w:cs="Times New Roman"/>
          <w:bCs/>
          <w:iCs/>
          <w:szCs w:val="24"/>
        </w:rPr>
        <w:t>Al fine di tener conto della rilevanza degli obblighi normativi sulla rischiosità dei vari processi aziendali si è tenuto conto di uno specifico driver di riferimento per il calcolo della probabilità del rischio inerente.</w:t>
      </w:r>
    </w:p>
    <w:p w14:paraId="63D89407" w14:textId="77777777" w:rsidR="00EB7461" w:rsidRPr="000E39AB" w:rsidRDefault="00EB7461" w:rsidP="00EB7461">
      <w:pPr>
        <w:rPr>
          <w:rFonts w:cs="Times New Roman"/>
          <w:bCs/>
          <w:iCs/>
          <w:szCs w:val="24"/>
        </w:rPr>
      </w:pPr>
    </w:p>
    <w:p w14:paraId="06B3BD31" w14:textId="767F0522" w:rsidR="00EB7461" w:rsidRPr="000E39AB" w:rsidRDefault="003A4C23" w:rsidP="003A4C23">
      <w:pPr>
        <w:pStyle w:val="Titolo2"/>
      </w:pPr>
      <w:bookmarkStart w:id="9" w:name="_Toc156660344"/>
      <w:r>
        <w:t xml:space="preserve">1.6. </w:t>
      </w:r>
      <w:r w:rsidR="00EB7461" w:rsidRPr="000E39AB">
        <w:t xml:space="preserve">Dimensioni, struttura e autorità decisionale delegata </w:t>
      </w:r>
      <w:r w:rsidR="00EB7461">
        <w:t>nel Gruppo RetiAmbiente</w:t>
      </w:r>
      <w:bookmarkEnd w:id="9"/>
      <w:r w:rsidR="002E4FB7">
        <w:t xml:space="preserve"> </w:t>
      </w:r>
    </w:p>
    <w:p w14:paraId="386DC2D0" w14:textId="3DC4CD78" w:rsidR="00EB7461" w:rsidRDefault="00EB7461" w:rsidP="00EB7461">
      <w:pPr>
        <w:rPr>
          <w:rFonts w:cs="Times New Roman"/>
          <w:bCs/>
          <w:iCs/>
          <w:szCs w:val="24"/>
        </w:rPr>
      </w:pPr>
      <w:r w:rsidRPr="002A7964">
        <w:rPr>
          <w:rFonts w:cs="Times New Roman"/>
          <w:bCs/>
          <w:iCs/>
          <w:szCs w:val="24"/>
        </w:rPr>
        <w:t xml:space="preserve">A livello organizzativo, </w:t>
      </w:r>
      <w:r w:rsidR="00966BC5">
        <w:rPr>
          <w:rFonts w:cs="Times New Roman"/>
          <w:bCs/>
          <w:iCs/>
          <w:szCs w:val="24"/>
        </w:rPr>
        <w:t xml:space="preserve">in un allegato </w:t>
      </w:r>
      <w:r w:rsidRPr="002A7964">
        <w:rPr>
          <w:rFonts w:cs="Times New Roman"/>
          <w:bCs/>
          <w:iCs/>
          <w:szCs w:val="24"/>
        </w:rPr>
        <w:t xml:space="preserve">al PTPCT, è definito un organigramma e funzionigramma in materia di prevenzione della corruzione. Inoltre, </w:t>
      </w:r>
      <w:r w:rsidR="002A7964" w:rsidRPr="002A7964">
        <w:rPr>
          <w:rFonts w:cs="Times New Roman"/>
          <w:bCs/>
          <w:iCs/>
          <w:szCs w:val="24"/>
        </w:rPr>
        <w:t xml:space="preserve">ciascuna Società del Gruppo </w:t>
      </w:r>
      <w:r w:rsidRPr="002A7964">
        <w:rPr>
          <w:rFonts w:cs="Times New Roman"/>
          <w:bCs/>
          <w:iCs/>
          <w:szCs w:val="24"/>
        </w:rPr>
        <w:t xml:space="preserve">ha approvato un organigramma e funzionigramma aziendale, al fine di definire chiaramente le responsabilità attribuite alle diverse funzioni aziendali. </w:t>
      </w:r>
    </w:p>
    <w:p w14:paraId="197AEA00" w14:textId="3126254F" w:rsidR="00172074" w:rsidRPr="002A7964" w:rsidRDefault="00172074" w:rsidP="00EB7461">
      <w:pPr>
        <w:rPr>
          <w:rFonts w:cs="Times New Roman"/>
          <w:bCs/>
          <w:iCs/>
          <w:szCs w:val="24"/>
        </w:rPr>
      </w:pPr>
      <w:r>
        <w:rPr>
          <w:rFonts w:cs="Times New Roman"/>
          <w:bCs/>
          <w:iCs/>
          <w:szCs w:val="24"/>
        </w:rPr>
        <w:t>L’Organo Direttivo è rappresentato dal Consiglio di Amministrazione di RetiAmbiente S.p.A. e l’Alta Direzione è rappresentata dal Direttore Generale di RetiAmbiente S.p.A.</w:t>
      </w:r>
    </w:p>
    <w:p w14:paraId="65D78060" w14:textId="414AEAC7" w:rsidR="00EB7461" w:rsidRPr="00346B95" w:rsidRDefault="00EB7461" w:rsidP="00EB7461">
      <w:pPr>
        <w:rPr>
          <w:rFonts w:cs="Times New Roman"/>
          <w:bCs/>
          <w:iCs/>
          <w:szCs w:val="24"/>
        </w:rPr>
      </w:pPr>
      <w:r w:rsidRPr="00346B95">
        <w:rPr>
          <w:rFonts w:cs="Times New Roman"/>
          <w:bCs/>
          <w:iCs/>
          <w:szCs w:val="24"/>
        </w:rPr>
        <w:t xml:space="preserve">Si indica nel seguito la composizione degli organi amministrativi e di controllo </w:t>
      </w:r>
      <w:r w:rsidR="00346B95" w:rsidRPr="00346B95">
        <w:rPr>
          <w:rFonts w:cs="Times New Roman"/>
          <w:bCs/>
          <w:iCs/>
          <w:szCs w:val="24"/>
        </w:rPr>
        <w:t>delle Società del Gruppo</w:t>
      </w:r>
      <w:r w:rsidRPr="00346B95">
        <w:rPr>
          <w:rFonts w:cs="Times New Roman"/>
          <w:bCs/>
          <w:iCs/>
          <w:szCs w:val="24"/>
        </w:rPr>
        <w:t>.</w:t>
      </w:r>
    </w:p>
    <w:p w14:paraId="1764C269" w14:textId="77777777" w:rsidR="00EB7461" w:rsidRPr="00EB7461" w:rsidRDefault="00EB7461" w:rsidP="00EB7461">
      <w:pPr>
        <w:rPr>
          <w:bCs/>
          <w:iCs/>
          <w:sz w:val="22"/>
          <w:highlight w:val="yellow"/>
        </w:rPr>
      </w:pPr>
    </w:p>
    <w:tbl>
      <w:tblPr>
        <w:tblStyle w:val="Grigliatabella"/>
        <w:tblW w:w="10909" w:type="dxa"/>
        <w:jc w:val="center"/>
        <w:tblLook w:val="04A0" w:firstRow="1" w:lastRow="0" w:firstColumn="1" w:lastColumn="0" w:noHBand="0" w:noVBand="1"/>
      </w:tblPr>
      <w:tblGrid>
        <w:gridCol w:w="1945"/>
        <w:gridCol w:w="2501"/>
        <w:gridCol w:w="2133"/>
        <w:gridCol w:w="1219"/>
        <w:gridCol w:w="1939"/>
        <w:gridCol w:w="1172"/>
      </w:tblGrid>
      <w:tr w:rsidR="008B1334" w:rsidRPr="00346B95" w14:paraId="373A31DB" w14:textId="77777777" w:rsidTr="00DF390D">
        <w:trPr>
          <w:tblHeader/>
          <w:jc w:val="center"/>
        </w:trPr>
        <w:tc>
          <w:tcPr>
            <w:tcW w:w="1980" w:type="dxa"/>
            <w:vAlign w:val="center"/>
          </w:tcPr>
          <w:p w14:paraId="01C7F6AE" w14:textId="4A51F3AF" w:rsidR="00346B95" w:rsidRPr="00346B95" w:rsidRDefault="00346B95" w:rsidP="00592C0C">
            <w:pPr>
              <w:jc w:val="center"/>
              <w:rPr>
                <w:rFonts w:cs="Times New Roman"/>
                <w:b/>
                <w:iCs/>
                <w:sz w:val="20"/>
                <w:szCs w:val="20"/>
              </w:rPr>
            </w:pPr>
            <w:r w:rsidRPr="00346B95">
              <w:rPr>
                <w:rFonts w:cs="Times New Roman"/>
                <w:b/>
                <w:iCs/>
                <w:sz w:val="20"/>
                <w:szCs w:val="20"/>
              </w:rPr>
              <w:t>Società del Gruppo</w:t>
            </w:r>
          </w:p>
        </w:tc>
        <w:tc>
          <w:tcPr>
            <w:tcW w:w="2551" w:type="dxa"/>
            <w:vAlign w:val="center"/>
          </w:tcPr>
          <w:p w14:paraId="0F830054" w14:textId="7CA284A7" w:rsidR="00346B95" w:rsidRPr="00346B95" w:rsidRDefault="00346B95" w:rsidP="00592C0C">
            <w:pPr>
              <w:jc w:val="center"/>
              <w:rPr>
                <w:rFonts w:cs="Times New Roman"/>
                <w:b/>
                <w:iCs/>
                <w:sz w:val="20"/>
                <w:szCs w:val="20"/>
              </w:rPr>
            </w:pPr>
            <w:r w:rsidRPr="00346B95">
              <w:rPr>
                <w:rFonts w:cs="Times New Roman"/>
                <w:b/>
                <w:iCs/>
                <w:sz w:val="20"/>
                <w:szCs w:val="20"/>
              </w:rPr>
              <w:t>Organo Amministrativo</w:t>
            </w:r>
          </w:p>
        </w:tc>
        <w:tc>
          <w:tcPr>
            <w:tcW w:w="2173" w:type="dxa"/>
            <w:vAlign w:val="center"/>
          </w:tcPr>
          <w:p w14:paraId="2FB04340" w14:textId="7558EDEC" w:rsidR="00346B95" w:rsidRPr="00346B95" w:rsidRDefault="00346B95" w:rsidP="00592C0C">
            <w:pPr>
              <w:jc w:val="center"/>
              <w:rPr>
                <w:rFonts w:cs="Times New Roman"/>
                <w:b/>
                <w:iCs/>
                <w:sz w:val="20"/>
                <w:szCs w:val="20"/>
              </w:rPr>
            </w:pPr>
            <w:r w:rsidRPr="00346B95">
              <w:rPr>
                <w:rFonts w:cs="Times New Roman"/>
                <w:b/>
                <w:iCs/>
                <w:sz w:val="20"/>
                <w:szCs w:val="20"/>
              </w:rPr>
              <w:t xml:space="preserve">Direzione </w:t>
            </w:r>
          </w:p>
        </w:tc>
        <w:tc>
          <w:tcPr>
            <w:tcW w:w="1229" w:type="dxa"/>
            <w:vAlign w:val="center"/>
          </w:tcPr>
          <w:p w14:paraId="1810B296" w14:textId="77777777" w:rsidR="00346B95" w:rsidRPr="00346B95" w:rsidRDefault="00346B95" w:rsidP="00592C0C">
            <w:pPr>
              <w:jc w:val="center"/>
              <w:rPr>
                <w:rFonts w:cs="Times New Roman"/>
                <w:b/>
                <w:iCs/>
                <w:sz w:val="20"/>
                <w:szCs w:val="20"/>
              </w:rPr>
            </w:pPr>
            <w:r w:rsidRPr="00346B95">
              <w:rPr>
                <w:rFonts w:cs="Times New Roman"/>
                <w:b/>
                <w:iCs/>
                <w:sz w:val="20"/>
                <w:szCs w:val="20"/>
              </w:rPr>
              <w:t>Collegio Sindacale</w:t>
            </w:r>
          </w:p>
        </w:tc>
        <w:tc>
          <w:tcPr>
            <w:tcW w:w="1985" w:type="dxa"/>
            <w:vAlign w:val="center"/>
          </w:tcPr>
          <w:p w14:paraId="539FF125" w14:textId="77777777" w:rsidR="00346B95" w:rsidRPr="00346B95" w:rsidRDefault="00346B95" w:rsidP="00592C0C">
            <w:pPr>
              <w:jc w:val="center"/>
              <w:rPr>
                <w:rFonts w:cs="Times New Roman"/>
                <w:b/>
                <w:iCs/>
                <w:sz w:val="20"/>
                <w:szCs w:val="20"/>
              </w:rPr>
            </w:pPr>
            <w:r w:rsidRPr="00346B95">
              <w:rPr>
                <w:rFonts w:cs="Times New Roman"/>
                <w:b/>
                <w:iCs/>
                <w:sz w:val="20"/>
                <w:szCs w:val="20"/>
              </w:rPr>
              <w:t>Società di Revisione</w:t>
            </w:r>
          </w:p>
        </w:tc>
        <w:tc>
          <w:tcPr>
            <w:tcW w:w="991" w:type="dxa"/>
            <w:vAlign w:val="center"/>
          </w:tcPr>
          <w:p w14:paraId="39F2EB50" w14:textId="77777777" w:rsidR="00346B95" w:rsidRPr="00346B95" w:rsidRDefault="00346B95" w:rsidP="00592C0C">
            <w:pPr>
              <w:jc w:val="center"/>
              <w:rPr>
                <w:rFonts w:cs="Times New Roman"/>
                <w:b/>
                <w:iCs/>
                <w:sz w:val="20"/>
                <w:szCs w:val="20"/>
              </w:rPr>
            </w:pPr>
            <w:r w:rsidRPr="00346B95">
              <w:rPr>
                <w:rFonts w:cs="Times New Roman"/>
                <w:b/>
                <w:iCs/>
                <w:sz w:val="20"/>
                <w:szCs w:val="20"/>
              </w:rPr>
              <w:t>Organismo di Vigilanza</w:t>
            </w:r>
          </w:p>
        </w:tc>
      </w:tr>
      <w:tr w:rsidR="008B1334" w:rsidRPr="00346B95" w14:paraId="7AF35355" w14:textId="77777777" w:rsidTr="00DF390D">
        <w:trPr>
          <w:jc w:val="center"/>
        </w:trPr>
        <w:tc>
          <w:tcPr>
            <w:tcW w:w="1980" w:type="dxa"/>
            <w:vAlign w:val="center"/>
          </w:tcPr>
          <w:p w14:paraId="480BDEF6" w14:textId="36A3BCB5" w:rsidR="00346B95" w:rsidRPr="00346B95" w:rsidRDefault="00346B95" w:rsidP="00A0574F">
            <w:pPr>
              <w:spacing w:line="276" w:lineRule="auto"/>
              <w:jc w:val="center"/>
              <w:rPr>
                <w:rFonts w:cs="Times New Roman"/>
                <w:bCs/>
                <w:iCs/>
                <w:sz w:val="20"/>
                <w:szCs w:val="20"/>
              </w:rPr>
            </w:pPr>
            <w:r w:rsidRPr="00346B95">
              <w:rPr>
                <w:rFonts w:cs="Times New Roman"/>
                <w:bCs/>
                <w:iCs/>
                <w:sz w:val="20"/>
                <w:szCs w:val="20"/>
              </w:rPr>
              <w:t>RetiAmbiente S.p.A.</w:t>
            </w:r>
          </w:p>
        </w:tc>
        <w:tc>
          <w:tcPr>
            <w:tcW w:w="2551" w:type="dxa"/>
            <w:vAlign w:val="center"/>
          </w:tcPr>
          <w:p w14:paraId="4E977793" w14:textId="6F4F1600" w:rsidR="00346B95" w:rsidRPr="00346B95" w:rsidRDefault="00346B95" w:rsidP="00A0574F">
            <w:pPr>
              <w:spacing w:line="276" w:lineRule="auto"/>
              <w:jc w:val="center"/>
              <w:rPr>
                <w:rFonts w:cs="Times New Roman"/>
                <w:bCs/>
                <w:iCs/>
                <w:sz w:val="20"/>
                <w:szCs w:val="20"/>
              </w:rPr>
            </w:pPr>
            <w:r w:rsidRPr="00346B95">
              <w:rPr>
                <w:rFonts w:cs="Times New Roman"/>
                <w:bCs/>
                <w:iCs/>
                <w:sz w:val="20"/>
                <w:szCs w:val="20"/>
              </w:rPr>
              <w:t>Consiglio di Amministrazione composto da 5 membri</w:t>
            </w:r>
          </w:p>
        </w:tc>
        <w:tc>
          <w:tcPr>
            <w:tcW w:w="2173" w:type="dxa"/>
            <w:vAlign w:val="center"/>
          </w:tcPr>
          <w:p w14:paraId="23D31427" w14:textId="02A37088" w:rsidR="00346B95" w:rsidRPr="00346B95" w:rsidRDefault="008B1334" w:rsidP="00A0574F">
            <w:pPr>
              <w:spacing w:line="276" w:lineRule="auto"/>
              <w:jc w:val="center"/>
              <w:rPr>
                <w:rFonts w:cs="Times New Roman"/>
                <w:bCs/>
                <w:iCs/>
                <w:sz w:val="20"/>
                <w:szCs w:val="20"/>
              </w:rPr>
            </w:pPr>
            <w:r>
              <w:rPr>
                <w:rFonts w:cs="Times New Roman"/>
                <w:bCs/>
                <w:iCs/>
                <w:sz w:val="20"/>
                <w:szCs w:val="20"/>
              </w:rPr>
              <w:t xml:space="preserve">Direttore Generale: </w:t>
            </w:r>
            <w:r w:rsidR="00346B95" w:rsidRPr="00346B95">
              <w:rPr>
                <w:rFonts w:cs="Times New Roman"/>
                <w:bCs/>
                <w:iCs/>
                <w:sz w:val="20"/>
                <w:szCs w:val="20"/>
              </w:rPr>
              <w:t>Urbano Dini</w:t>
            </w:r>
          </w:p>
        </w:tc>
        <w:tc>
          <w:tcPr>
            <w:tcW w:w="1229" w:type="dxa"/>
            <w:vAlign w:val="center"/>
          </w:tcPr>
          <w:p w14:paraId="73B8D629" w14:textId="77777777" w:rsidR="00346B95" w:rsidRPr="00346B95" w:rsidRDefault="00346B95" w:rsidP="00A0574F">
            <w:pPr>
              <w:spacing w:line="276" w:lineRule="auto"/>
              <w:jc w:val="center"/>
              <w:rPr>
                <w:rFonts w:cs="Times New Roman"/>
                <w:bCs/>
                <w:iCs/>
                <w:sz w:val="20"/>
                <w:szCs w:val="20"/>
              </w:rPr>
            </w:pPr>
            <w:r w:rsidRPr="00346B95">
              <w:rPr>
                <w:rFonts w:cs="Times New Roman"/>
                <w:bCs/>
                <w:iCs/>
                <w:sz w:val="20"/>
                <w:szCs w:val="20"/>
              </w:rPr>
              <w:t>3 membri</w:t>
            </w:r>
          </w:p>
        </w:tc>
        <w:tc>
          <w:tcPr>
            <w:tcW w:w="1985" w:type="dxa"/>
            <w:vAlign w:val="center"/>
          </w:tcPr>
          <w:p w14:paraId="14FCD35D" w14:textId="77777777" w:rsidR="00346B95" w:rsidRPr="00346B95" w:rsidRDefault="00346B95" w:rsidP="00A0574F">
            <w:pPr>
              <w:spacing w:line="276" w:lineRule="auto"/>
              <w:jc w:val="center"/>
              <w:rPr>
                <w:rFonts w:cs="Times New Roman"/>
                <w:bCs/>
                <w:iCs/>
                <w:sz w:val="20"/>
                <w:szCs w:val="20"/>
              </w:rPr>
            </w:pPr>
            <w:r w:rsidRPr="00346B95">
              <w:rPr>
                <w:rFonts w:cs="Times New Roman"/>
                <w:bCs/>
                <w:iCs/>
                <w:sz w:val="20"/>
                <w:szCs w:val="20"/>
              </w:rPr>
              <w:t>Crowe Bompani S.p.A.</w:t>
            </w:r>
          </w:p>
        </w:tc>
        <w:tc>
          <w:tcPr>
            <w:tcW w:w="991" w:type="dxa"/>
            <w:vAlign w:val="center"/>
          </w:tcPr>
          <w:p w14:paraId="424562FD" w14:textId="77777777" w:rsidR="00346B95" w:rsidRPr="00346B95" w:rsidRDefault="00346B95" w:rsidP="00A0574F">
            <w:pPr>
              <w:spacing w:line="276" w:lineRule="auto"/>
              <w:jc w:val="center"/>
              <w:rPr>
                <w:rFonts w:cs="Times New Roman"/>
                <w:bCs/>
                <w:iCs/>
                <w:sz w:val="20"/>
                <w:szCs w:val="20"/>
              </w:rPr>
            </w:pPr>
            <w:r w:rsidRPr="00346B95">
              <w:rPr>
                <w:rFonts w:cs="Times New Roman"/>
                <w:bCs/>
                <w:iCs/>
                <w:sz w:val="20"/>
                <w:szCs w:val="20"/>
              </w:rPr>
              <w:t>3 membri esterni</w:t>
            </w:r>
          </w:p>
        </w:tc>
      </w:tr>
      <w:tr w:rsidR="008B1334" w:rsidRPr="00346B95" w14:paraId="56CC4A34" w14:textId="77777777" w:rsidTr="00DF390D">
        <w:trPr>
          <w:jc w:val="center"/>
        </w:trPr>
        <w:tc>
          <w:tcPr>
            <w:tcW w:w="1980" w:type="dxa"/>
            <w:vAlign w:val="center"/>
          </w:tcPr>
          <w:p w14:paraId="10BECADC" w14:textId="369EE1D4"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AAMPS S.p.A.</w:t>
            </w:r>
          </w:p>
        </w:tc>
        <w:tc>
          <w:tcPr>
            <w:tcW w:w="2551" w:type="dxa"/>
            <w:vAlign w:val="center"/>
          </w:tcPr>
          <w:p w14:paraId="02791D10" w14:textId="50B51774" w:rsidR="008B1334" w:rsidRPr="00346B95" w:rsidRDefault="008B1334" w:rsidP="00A0574F">
            <w:pPr>
              <w:spacing w:line="276" w:lineRule="auto"/>
              <w:jc w:val="center"/>
              <w:rPr>
                <w:rFonts w:cs="Times New Roman"/>
                <w:bCs/>
                <w:iCs/>
                <w:sz w:val="20"/>
                <w:szCs w:val="20"/>
              </w:rPr>
            </w:pPr>
            <w:r>
              <w:rPr>
                <w:rFonts w:cs="Times New Roman"/>
                <w:bCs/>
                <w:iCs/>
                <w:sz w:val="20"/>
                <w:szCs w:val="20"/>
              </w:rPr>
              <w:t>Amministratore Unico</w:t>
            </w:r>
          </w:p>
        </w:tc>
        <w:tc>
          <w:tcPr>
            <w:tcW w:w="2173" w:type="dxa"/>
            <w:vAlign w:val="center"/>
          </w:tcPr>
          <w:p w14:paraId="7B5C98B2" w14:textId="1992DE05" w:rsidR="008B1334" w:rsidRPr="00346B95" w:rsidRDefault="008B1334" w:rsidP="00A0574F">
            <w:pPr>
              <w:spacing w:line="276" w:lineRule="auto"/>
              <w:jc w:val="center"/>
              <w:rPr>
                <w:rFonts w:cs="Times New Roman"/>
                <w:bCs/>
                <w:iCs/>
                <w:sz w:val="20"/>
                <w:szCs w:val="20"/>
              </w:rPr>
            </w:pPr>
            <w:r>
              <w:rPr>
                <w:rFonts w:cs="Times New Roman"/>
                <w:bCs/>
                <w:iCs/>
                <w:sz w:val="20"/>
                <w:szCs w:val="20"/>
              </w:rPr>
              <w:t xml:space="preserve">Direttore Generale: </w:t>
            </w:r>
            <w:r w:rsidRPr="008B1334">
              <w:rPr>
                <w:rFonts w:cs="Times New Roman"/>
                <w:bCs/>
                <w:iCs/>
                <w:sz w:val="20"/>
                <w:szCs w:val="20"/>
              </w:rPr>
              <w:t>Alessandri Raffaele</w:t>
            </w:r>
          </w:p>
        </w:tc>
        <w:tc>
          <w:tcPr>
            <w:tcW w:w="1229" w:type="dxa"/>
            <w:vAlign w:val="center"/>
          </w:tcPr>
          <w:p w14:paraId="2A5AD31D" w14:textId="2E524546"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w:t>
            </w:r>
          </w:p>
        </w:tc>
        <w:tc>
          <w:tcPr>
            <w:tcW w:w="1985" w:type="dxa"/>
            <w:vAlign w:val="center"/>
          </w:tcPr>
          <w:p w14:paraId="7961C00C" w14:textId="25386307"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Crowe Bompani S.p.A.</w:t>
            </w:r>
          </w:p>
        </w:tc>
        <w:tc>
          <w:tcPr>
            <w:tcW w:w="991" w:type="dxa"/>
            <w:vAlign w:val="center"/>
          </w:tcPr>
          <w:p w14:paraId="36117543" w14:textId="5CAD0902" w:rsidR="008B1334" w:rsidRPr="00346B95" w:rsidRDefault="008B1334" w:rsidP="00A0574F">
            <w:pPr>
              <w:spacing w:line="276" w:lineRule="auto"/>
              <w:jc w:val="center"/>
              <w:rPr>
                <w:rFonts w:cs="Times New Roman"/>
                <w:bCs/>
                <w:iCs/>
                <w:sz w:val="20"/>
                <w:szCs w:val="20"/>
              </w:rPr>
            </w:pPr>
            <w:r>
              <w:rPr>
                <w:rFonts w:cs="Times New Roman"/>
                <w:bCs/>
                <w:iCs/>
                <w:sz w:val="20"/>
                <w:szCs w:val="20"/>
              </w:rPr>
              <w:t>1 membro esterno</w:t>
            </w:r>
          </w:p>
        </w:tc>
      </w:tr>
      <w:tr w:rsidR="008B1334" w:rsidRPr="00346B95" w14:paraId="539AFE74" w14:textId="77777777" w:rsidTr="00DF390D">
        <w:trPr>
          <w:jc w:val="center"/>
        </w:trPr>
        <w:tc>
          <w:tcPr>
            <w:tcW w:w="1980" w:type="dxa"/>
            <w:vAlign w:val="center"/>
          </w:tcPr>
          <w:p w14:paraId="45D44548" w14:textId="45175AC9"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Ersu S.p.A.</w:t>
            </w:r>
          </w:p>
        </w:tc>
        <w:tc>
          <w:tcPr>
            <w:tcW w:w="2551" w:type="dxa"/>
            <w:vAlign w:val="center"/>
          </w:tcPr>
          <w:p w14:paraId="7B72BD89" w14:textId="67C9EEC1" w:rsidR="008B1334" w:rsidRPr="00346B95" w:rsidRDefault="008B1334" w:rsidP="00A0574F">
            <w:pPr>
              <w:spacing w:line="276" w:lineRule="auto"/>
              <w:jc w:val="center"/>
              <w:rPr>
                <w:rFonts w:cs="Times New Roman"/>
                <w:bCs/>
                <w:iCs/>
                <w:sz w:val="20"/>
                <w:szCs w:val="20"/>
              </w:rPr>
            </w:pPr>
            <w:r>
              <w:rPr>
                <w:rFonts w:cs="Times New Roman"/>
                <w:bCs/>
                <w:iCs/>
                <w:sz w:val="20"/>
                <w:szCs w:val="20"/>
              </w:rPr>
              <w:t>Amministratore Unico</w:t>
            </w:r>
          </w:p>
        </w:tc>
        <w:tc>
          <w:tcPr>
            <w:tcW w:w="2173" w:type="dxa"/>
            <w:vAlign w:val="center"/>
          </w:tcPr>
          <w:p w14:paraId="7BDE1D90" w14:textId="4C0410BC" w:rsidR="008B1334" w:rsidRPr="00346B95" w:rsidRDefault="008B1334" w:rsidP="00A0574F">
            <w:pPr>
              <w:spacing w:line="276" w:lineRule="auto"/>
              <w:jc w:val="center"/>
              <w:rPr>
                <w:rFonts w:cs="Times New Roman"/>
                <w:bCs/>
                <w:iCs/>
                <w:sz w:val="20"/>
                <w:szCs w:val="20"/>
              </w:rPr>
            </w:pPr>
            <w:r>
              <w:rPr>
                <w:rFonts w:cs="Times New Roman"/>
                <w:bCs/>
                <w:iCs/>
                <w:sz w:val="20"/>
                <w:szCs w:val="20"/>
              </w:rPr>
              <w:t xml:space="preserve">Direttore Generale: </w:t>
            </w:r>
            <w:r w:rsidRPr="008B1334">
              <w:rPr>
                <w:rFonts w:cs="Times New Roman"/>
                <w:bCs/>
                <w:iCs/>
                <w:sz w:val="20"/>
                <w:szCs w:val="20"/>
              </w:rPr>
              <w:t>Bresciani Gatti Walter</w:t>
            </w:r>
          </w:p>
        </w:tc>
        <w:tc>
          <w:tcPr>
            <w:tcW w:w="1229" w:type="dxa"/>
            <w:vAlign w:val="center"/>
          </w:tcPr>
          <w:p w14:paraId="132113A1" w14:textId="60657019"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w:t>
            </w:r>
          </w:p>
        </w:tc>
        <w:tc>
          <w:tcPr>
            <w:tcW w:w="1985" w:type="dxa"/>
            <w:vAlign w:val="center"/>
          </w:tcPr>
          <w:p w14:paraId="76FAB3C5" w14:textId="2E8A568F"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Crowe Bompani S.p.A.</w:t>
            </w:r>
          </w:p>
        </w:tc>
        <w:tc>
          <w:tcPr>
            <w:tcW w:w="991" w:type="dxa"/>
            <w:vAlign w:val="center"/>
          </w:tcPr>
          <w:p w14:paraId="0ACF73D2" w14:textId="0C277FDF"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 esterni</w:t>
            </w:r>
          </w:p>
        </w:tc>
      </w:tr>
      <w:tr w:rsidR="008B1334" w:rsidRPr="00346B95" w14:paraId="4B3FA6BA" w14:textId="77777777" w:rsidTr="00DF390D">
        <w:trPr>
          <w:jc w:val="center"/>
        </w:trPr>
        <w:tc>
          <w:tcPr>
            <w:tcW w:w="1980" w:type="dxa"/>
            <w:vAlign w:val="center"/>
          </w:tcPr>
          <w:p w14:paraId="114EF4C5" w14:textId="1B13D6BA"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Esa S.p.A.</w:t>
            </w:r>
          </w:p>
        </w:tc>
        <w:tc>
          <w:tcPr>
            <w:tcW w:w="2551" w:type="dxa"/>
            <w:vAlign w:val="center"/>
          </w:tcPr>
          <w:p w14:paraId="1D10D301" w14:textId="546CFBA1"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 xml:space="preserve">Consiglio di Amministrazione composto </w:t>
            </w:r>
            <w:r>
              <w:rPr>
                <w:rFonts w:cs="Times New Roman"/>
                <w:bCs/>
                <w:iCs/>
                <w:sz w:val="20"/>
                <w:szCs w:val="20"/>
              </w:rPr>
              <w:t>da 3</w:t>
            </w:r>
            <w:r w:rsidRPr="00346B95">
              <w:rPr>
                <w:rFonts w:cs="Times New Roman"/>
                <w:bCs/>
                <w:iCs/>
                <w:sz w:val="20"/>
                <w:szCs w:val="20"/>
              </w:rPr>
              <w:t xml:space="preserve"> membri</w:t>
            </w:r>
          </w:p>
        </w:tc>
        <w:tc>
          <w:tcPr>
            <w:tcW w:w="2173" w:type="dxa"/>
            <w:vAlign w:val="center"/>
          </w:tcPr>
          <w:p w14:paraId="297B9200" w14:textId="07BA1573" w:rsidR="008B1334" w:rsidRPr="00346B95" w:rsidRDefault="008B1334" w:rsidP="00A0574F">
            <w:pPr>
              <w:spacing w:line="276" w:lineRule="auto"/>
              <w:jc w:val="center"/>
              <w:rPr>
                <w:rFonts w:cs="Times New Roman"/>
                <w:bCs/>
                <w:iCs/>
                <w:sz w:val="20"/>
                <w:szCs w:val="20"/>
              </w:rPr>
            </w:pPr>
            <w:r>
              <w:rPr>
                <w:rFonts w:cs="Times New Roman"/>
                <w:bCs/>
                <w:iCs/>
                <w:sz w:val="20"/>
                <w:szCs w:val="20"/>
              </w:rPr>
              <w:t xml:space="preserve">Direttore Generale: </w:t>
            </w:r>
            <w:r w:rsidRPr="008B1334">
              <w:rPr>
                <w:rFonts w:cs="Times New Roman"/>
                <w:bCs/>
                <w:iCs/>
                <w:sz w:val="20"/>
                <w:szCs w:val="20"/>
              </w:rPr>
              <w:t>Diversi Massimo</w:t>
            </w:r>
          </w:p>
        </w:tc>
        <w:tc>
          <w:tcPr>
            <w:tcW w:w="1229" w:type="dxa"/>
            <w:vAlign w:val="center"/>
          </w:tcPr>
          <w:p w14:paraId="049CCC2A" w14:textId="17969F18"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w:t>
            </w:r>
          </w:p>
        </w:tc>
        <w:tc>
          <w:tcPr>
            <w:tcW w:w="1985" w:type="dxa"/>
            <w:vAlign w:val="center"/>
          </w:tcPr>
          <w:p w14:paraId="0E5129A6" w14:textId="086209BA"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Crowe Bompani S.p.A.</w:t>
            </w:r>
          </w:p>
        </w:tc>
        <w:tc>
          <w:tcPr>
            <w:tcW w:w="991" w:type="dxa"/>
            <w:vAlign w:val="center"/>
          </w:tcPr>
          <w:p w14:paraId="5AB7763B" w14:textId="4FCDB543" w:rsidR="008B1334" w:rsidRPr="00346B95" w:rsidRDefault="008B1334" w:rsidP="00A0574F">
            <w:pPr>
              <w:spacing w:line="276" w:lineRule="auto"/>
              <w:jc w:val="center"/>
              <w:rPr>
                <w:rFonts w:cs="Times New Roman"/>
                <w:bCs/>
                <w:iCs/>
                <w:sz w:val="20"/>
                <w:szCs w:val="20"/>
              </w:rPr>
            </w:pPr>
            <w:r>
              <w:rPr>
                <w:rFonts w:cs="Times New Roman"/>
                <w:bCs/>
                <w:iCs/>
                <w:sz w:val="20"/>
                <w:szCs w:val="20"/>
              </w:rPr>
              <w:t>1 membro esterno</w:t>
            </w:r>
          </w:p>
        </w:tc>
      </w:tr>
      <w:tr w:rsidR="008B1334" w:rsidRPr="00346B95" w14:paraId="2F473E2B" w14:textId="77777777" w:rsidTr="00DF390D">
        <w:trPr>
          <w:jc w:val="center"/>
        </w:trPr>
        <w:tc>
          <w:tcPr>
            <w:tcW w:w="1980" w:type="dxa"/>
            <w:vAlign w:val="center"/>
          </w:tcPr>
          <w:p w14:paraId="7018D665" w14:textId="62D45177"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lastRenderedPageBreak/>
              <w:t>Geofor S.p.A.</w:t>
            </w:r>
          </w:p>
        </w:tc>
        <w:tc>
          <w:tcPr>
            <w:tcW w:w="2551" w:type="dxa"/>
            <w:vAlign w:val="center"/>
          </w:tcPr>
          <w:p w14:paraId="03E5D775" w14:textId="5BC7E9EB"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 xml:space="preserve">Consiglio di Amministrazione composto </w:t>
            </w:r>
            <w:r>
              <w:rPr>
                <w:rFonts w:cs="Times New Roman"/>
                <w:bCs/>
                <w:iCs/>
                <w:sz w:val="20"/>
                <w:szCs w:val="20"/>
              </w:rPr>
              <w:t>da 3</w:t>
            </w:r>
            <w:r w:rsidRPr="00346B95">
              <w:rPr>
                <w:rFonts w:cs="Times New Roman"/>
                <w:bCs/>
                <w:iCs/>
                <w:sz w:val="20"/>
                <w:szCs w:val="20"/>
              </w:rPr>
              <w:t xml:space="preserve"> membri</w:t>
            </w:r>
          </w:p>
        </w:tc>
        <w:tc>
          <w:tcPr>
            <w:tcW w:w="2173" w:type="dxa"/>
            <w:vAlign w:val="center"/>
          </w:tcPr>
          <w:p w14:paraId="2387533C" w14:textId="08D57F53" w:rsidR="008B1334" w:rsidRPr="00346B95" w:rsidRDefault="008B1334" w:rsidP="00A0574F">
            <w:pPr>
              <w:spacing w:line="276" w:lineRule="auto"/>
              <w:jc w:val="center"/>
              <w:rPr>
                <w:rFonts w:cs="Times New Roman"/>
                <w:bCs/>
                <w:iCs/>
                <w:sz w:val="20"/>
                <w:szCs w:val="20"/>
              </w:rPr>
            </w:pPr>
            <w:r>
              <w:rPr>
                <w:rFonts w:cs="Times New Roman"/>
                <w:bCs/>
                <w:iCs/>
                <w:sz w:val="20"/>
                <w:szCs w:val="20"/>
              </w:rPr>
              <w:t>AD: Paolo Vannozzi</w:t>
            </w:r>
          </w:p>
        </w:tc>
        <w:tc>
          <w:tcPr>
            <w:tcW w:w="1229" w:type="dxa"/>
            <w:vAlign w:val="center"/>
          </w:tcPr>
          <w:p w14:paraId="1990F353" w14:textId="1D033C2B"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w:t>
            </w:r>
          </w:p>
        </w:tc>
        <w:tc>
          <w:tcPr>
            <w:tcW w:w="1985" w:type="dxa"/>
            <w:vAlign w:val="center"/>
          </w:tcPr>
          <w:p w14:paraId="68D3786A" w14:textId="20280DDF"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Crowe Bompani S.p.A.</w:t>
            </w:r>
          </w:p>
        </w:tc>
        <w:tc>
          <w:tcPr>
            <w:tcW w:w="991" w:type="dxa"/>
            <w:vAlign w:val="center"/>
          </w:tcPr>
          <w:p w14:paraId="13BF5C5E" w14:textId="5FB799FC"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 esterni</w:t>
            </w:r>
          </w:p>
        </w:tc>
      </w:tr>
      <w:tr w:rsidR="008B1334" w:rsidRPr="00346B95" w14:paraId="0B511BE6" w14:textId="77777777" w:rsidTr="00DF390D">
        <w:trPr>
          <w:jc w:val="center"/>
        </w:trPr>
        <w:tc>
          <w:tcPr>
            <w:tcW w:w="1980" w:type="dxa"/>
            <w:vAlign w:val="center"/>
          </w:tcPr>
          <w:p w14:paraId="09ACD7B7" w14:textId="24D76D73"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Rea S.p.A.</w:t>
            </w:r>
          </w:p>
        </w:tc>
        <w:tc>
          <w:tcPr>
            <w:tcW w:w="2551" w:type="dxa"/>
            <w:vAlign w:val="center"/>
          </w:tcPr>
          <w:p w14:paraId="46DC33B0" w14:textId="1B9E3213" w:rsidR="008B1334" w:rsidRPr="00346B95" w:rsidRDefault="008B1334" w:rsidP="00A0574F">
            <w:pPr>
              <w:spacing w:line="276" w:lineRule="auto"/>
              <w:jc w:val="center"/>
              <w:rPr>
                <w:rFonts w:cs="Times New Roman"/>
                <w:bCs/>
                <w:iCs/>
                <w:sz w:val="20"/>
                <w:szCs w:val="20"/>
              </w:rPr>
            </w:pPr>
            <w:r>
              <w:rPr>
                <w:rFonts w:cs="Times New Roman"/>
                <w:bCs/>
                <w:iCs/>
                <w:sz w:val="20"/>
                <w:szCs w:val="20"/>
              </w:rPr>
              <w:t>Amministratore Unico</w:t>
            </w:r>
          </w:p>
        </w:tc>
        <w:tc>
          <w:tcPr>
            <w:tcW w:w="2173" w:type="dxa"/>
            <w:vAlign w:val="center"/>
          </w:tcPr>
          <w:p w14:paraId="08B7C739" w14:textId="01823C84" w:rsidR="008B1334" w:rsidRPr="00346B95" w:rsidRDefault="008B1334" w:rsidP="00A0574F">
            <w:pPr>
              <w:spacing w:line="276" w:lineRule="auto"/>
              <w:jc w:val="center"/>
              <w:rPr>
                <w:rFonts w:cs="Times New Roman"/>
                <w:bCs/>
                <w:iCs/>
                <w:sz w:val="20"/>
                <w:szCs w:val="20"/>
              </w:rPr>
            </w:pPr>
            <w:r>
              <w:rPr>
                <w:rFonts w:cs="Times New Roman"/>
                <w:bCs/>
                <w:iCs/>
                <w:sz w:val="20"/>
                <w:szCs w:val="20"/>
              </w:rPr>
              <w:t>Direttore tecnico: Bianchi Stefano</w:t>
            </w:r>
          </w:p>
        </w:tc>
        <w:tc>
          <w:tcPr>
            <w:tcW w:w="1229" w:type="dxa"/>
            <w:vAlign w:val="center"/>
          </w:tcPr>
          <w:p w14:paraId="0D6298D9" w14:textId="3CECAEDC"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w:t>
            </w:r>
          </w:p>
        </w:tc>
        <w:tc>
          <w:tcPr>
            <w:tcW w:w="1985" w:type="dxa"/>
            <w:vAlign w:val="center"/>
          </w:tcPr>
          <w:p w14:paraId="1A8E66B8" w14:textId="5EFD055D"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Crowe Bompani S.p.A.</w:t>
            </w:r>
          </w:p>
        </w:tc>
        <w:tc>
          <w:tcPr>
            <w:tcW w:w="991" w:type="dxa"/>
            <w:vAlign w:val="center"/>
          </w:tcPr>
          <w:p w14:paraId="640768EC" w14:textId="2BC399A7"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 esterni</w:t>
            </w:r>
          </w:p>
        </w:tc>
      </w:tr>
      <w:tr w:rsidR="008B1334" w:rsidRPr="00346B95" w14:paraId="0C7F30AE" w14:textId="77777777" w:rsidTr="00DF390D">
        <w:trPr>
          <w:jc w:val="center"/>
        </w:trPr>
        <w:tc>
          <w:tcPr>
            <w:tcW w:w="1980" w:type="dxa"/>
            <w:vAlign w:val="center"/>
          </w:tcPr>
          <w:p w14:paraId="1EECB3E8" w14:textId="131B1525"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Sea Ambiente S.p.A.</w:t>
            </w:r>
          </w:p>
        </w:tc>
        <w:tc>
          <w:tcPr>
            <w:tcW w:w="2551" w:type="dxa"/>
            <w:vAlign w:val="center"/>
          </w:tcPr>
          <w:p w14:paraId="79BE87AC" w14:textId="61BB54CA" w:rsidR="008B1334" w:rsidRPr="00346B95" w:rsidRDefault="008B1334" w:rsidP="00A0574F">
            <w:pPr>
              <w:spacing w:line="276" w:lineRule="auto"/>
              <w:jc w:val="center"/>
              <w:rPr>
                <w:rFonts w:cs="Times New Roman"/>
                <w:bCs/>
                <w:iCs/>
                <w:sz w:val="20"/>
                <w:szCs w:val="20"/>
              </w:rPr>
            </w:pPr>
            <w:r>
              <w:rPr>
                <w:rFonts w:cs="Times New Roman"/>
                <w:bCs/>
                <w:iCs/>
                <w:sz w:val="20"/>
                <w:szCs w:val="20"/>
              </w:rPr>
              <w:t>Amministratore Unico</w:t>
            </w:r>
          </w:p>
        </w:tc>
        <w:tc>
          <w:tcPr>
            <w:tcW w:w="2173" w:type="dxa"/>
            <w:vAlign w:val="center"/>
          </w:tcPr>
          <w:p w14:paraId="1D67BAC3" w14:textId="768F188E" w:rsidR="008B1334" w:rsidRPr="00346B95" w:rsidRDefault="008B1334" w:rsidP="00A0574F">
            <w:pPr>
              <w:spacing w:line="276" w:lineRule="auto"/>
              <w:jc w:val="center"/>
              <w:rPr>
                <w:rFonts w:cs="Times New Roman"/>
                <w:bCs/>
                <w:iCs/>
                <w:sz w:val="20"/>
                <w:szCs w:val="20"/>
              </w:rPr>
            </w:pPr>
            <w:r>
              <w:rPr>
                <w:rFonts w:cs="Times New Roman"/>
                <w:bCs/>
                <w:iCs/>
                <w:sz w:val="20"/>
                <w:szCs w:val="20"/>
              </w:rPr>
              <w:t>2 dirigenti, uno per l’Area tecnica (</w:t>
            </w:r>
            <w:r w:rsidRPr="008B1334">
              <w:rPr>
                <w:rFonts w:cs="Times New Roman"/>
                <w:bCs/>
                <w:iCs/>
                <w:sz w:val="20"/>
                <w:szCs w:val="20"/>
              </w:rPr>
              <w:t>Bergamini Massimiliano</w:t>
            </w:r>
            <w:r>
              <w:rPr>
                <w:rFonts w:cs="Times New Roman"/>
                <w:bCs/>
                <w:iCs/>
                <w:sz w:val="20"/>
                <w:szCs w:val="20"/>
              </w:rPr>
              <w:t>) e uno per l’Area amministrativa (</w:t>
            </w:r>
            <w:r w:rsidRPr="008B1334">
              <w:rPr>
                <w:rFonts w:cs="Times New Roman"/>
                <w:bCs/>
                <w:iCs/>
                <w:sz w:val="20"/>
                <w:szCs w:val="20"/>
              </w:rPr>
              <w:t>Salvini Fulvia</w:t>
            </w:r>
            <w:r>
              <w:rPr>
                <w:rFonts w:cs="Times New Roman"/>
                <w:bCs/>
                <w:iCs/>
                <w:sz w:val="20"/>
                <w:szCs w:val="20"/>
              </w:rPr>
              <w:t>)</w:t>
            </w:r>
          </w:p>
        </w:tc>
        <w:tc>
          <w:tcPr>
            <w:tcW w:w="1229" w:type="dxa"/>
            <w:vAlign w:val="center"/>
          </w:tcPr>
          <w:p w14:paraId="2F748642" w14:textId="260F2C34"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w:t>
            </w:r>
          </w:p>
        </w:tc>
        <w:tc>
          <w:tcPr>
            <w:tcW w:w="1985" w:type="dxa"/>
            <w:vAlign w:val="center"/>
          </w:tcPr>
          <w:p w14:paraId="244F6D64" w14:textId="2F1F86A8"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Crowe Bompani S.p.A.</w:t>
            </w:r>
          </w:p>
        </w:tc>
        <w:tc>
          <w:tcPr>
            <w:tcW w:w="991" w:type="dxa"/>
            <w:vAlign w:val="center"/>
          </w:tcPr>
          <w:p w14:paraId="16245FE2" w14:textId="28474063" w:rsidR="008B1334" w:rsidRPr="00346B95" w:rsidRDefault="008B1334" w:rsidP="00A0574F">
            <w:pPr>
              <w:spacing w:line="276" w:lineRule="auto"/>
              <w:jc w:val="center"/>
              <w:rPr>
                <w:rFonts w:cs="Times New Roman"/>
                <w:bCs/>
                <w:iCs/>
                <w:sz w:val="20"/>
                <w:szCs w:val="20"/>
              </w:rPr>
            </w:pPr>
            <w:r w:rsidRPr="00346B95">
              <w:rPr>
                <w:rFonts w:cs="Times New Roman"/>
                <w:bCs/>
                <w:iCs/>
                <w:sz w:val="20"/>
                <w:szCs w:val="20"/>
              </w:rPr>
              <w:t>3 membri esterni</w:t>
            </w:r>
          </w:p>
        </w:tc>
      </w:tr>
      <w:tr w:rsidR="002B1B5D" w:rsidRPr="00346B95" w14:paraId="5572C1D3" w14:textId="77777777" w:rsidTr="00DF390D">
        <w:trPr>
          <w:jc w:val="center"/>
        </w:trPr>
        <w:tc>
          <w:tcPr>
            <w:tcW w:w="1980" w:type="dxa"/>
            <w:vAlign w:val="center"/>
          </w:tcPr>
          <w:p w14:paraId="3E991F62" w14:textId="2257F2DB" w:rsidR="002B1B5D" w:rsidRPr="00346B95" w:rsidRDefault="002B1B5D" w:rsidP="00A0574F">
            <w:pPr>
              <w:spacing w:line="276" w:lineRule="auto"/>
              <w:jc w:val="center"/>
              <w:rPr>
                <w:rFonts w:cs="Times New Roman"/>
                <w:bCs/>
                <w:iCs/>
                <w:sz w:val="20"/>
                <w:szCs w:val="20"/>
              </w:rPr>
            </w:pPr>
            <w:r w:rsidRPr="00346B95">
              <w:rPr>
                <w:rFonts w:cs="Times New Roman"/>
                <w:bCs/>
                <w:iCs/>
                <w:sz w:val="20"/>
                <w:szCs w:val="20"/>
              </w:rPr>
              <w:t>Ascit S.p.A.</w:t>
            </w:r>
          </w:p>
        </w:tc>
        <w:tc>
          <w:tcPr>
            <w:tcW w:w="2551" w:type="dxa"/>
            <w:vAlign w:val="center"/>
          </w:tcPr>
          <w:p w14:paraId="1355BC42" w14:textId="03A6E591" w:rsidR="002B1B5D" w:rsidRPr="00346B95" w:rsidRDefault="002B1B5D" w:rsidP="00A0574F">
            <w:pPr>
              <w:spacing w:line="276" w:lineRule="auto"/>
              <w:jc w:val="center"/>
              <w:rPr>
                <w:rFonts w:cs="Times New Roman"/>
                <w:bCs/>
                <w:iCs/>
                <w:sz w:val="20"/>
                <w:szCs w:val="20"/>
              </w:rPr>
            </w:pPr>
            <w:r w:rsidRPr="00346B95">
              <w:rPr>
                <w:rFonts w:cs="Times New Roman"/>
                <w:bCs/>
                <w:iCs/>
                <w:sz w:val="20"/>
                <w:szCs w:val="20"/>
              </w:rPr>
              <w:t xml:space="preserve">Consiglio di Amministrazione composto </w:t>
            </w:r>
            <w:r>
              <w:rPr>
                <w:rFonts w:cs="Times New Roman"/>
                <w:bCs/>
                <w:iCs/>
                <w:sz w:val="20"/>
                <w:szCs w:val="20"/>
              </w:rPr>
              <w:t>da 3</w:t>
            </w:r>
            <w:r w:rsidRPr="00346B95">
              <w:rPr>
                <w:rFonts w:cs="Times New Roman"/>
                <w:bCs/>
                <w:iCs/>
                <w:sz w:val="20"/>
                <w:szCs w:val="20"/>
              </w:rPr>
              <w:t xml:space="preserve"> membri</w:t>
            </w:r>
          </w:p>
        </w:tc>
        <w:tc>
          <w:tcPr>
            <w:tcW w:w="2173" w:type="dxa"/>
            <w:vAlign w:val="center"/>
          </w:tcPr>
          <w:p w14:paraId="5B23F8A8" w14:textId="483A4204" w:rsidR="002B1B5D" w:rsidRPr="00346B95" w:rsidRDefault="002B1B5D" w:rsidP="00A0574F">
            <w:pPr>
              <w:spacing w:line="276" w:lineRule="auto"/>
              <w:jc w:val="center"/>
              <w:rPr>
                <w:rFonts w:cs="Times New Roman"/>
                <w:bCs/>
                <w:iCs/>
                <w:sz w:val="20"/>
                <w:szCs w:val="20"/>
              </w:rPr>
            </w:pPr>
            <w:r>
              <w:rPr>
                <w:rFonts w:cs="Times New Roman"/>
                <w:bCs/>
                <w:iCs/>
                <w:sz w:val="20"/>
                <w:szCs w:val="20"/>
              </w:rPr>
              <w:t>Direttore Generale: Roger Bizzarri</w:t>
            </w:r>
          </w:p>
        </w:tc>
        <w:tc>
          <w:tcPr>
            <w:tcW w:w="1229" w:type="dxa"/>
            <w:vAlign w:val="center"/>
          </w:tcPr>
          <w:p w14:paraId="0E072637" w14:textId="41803B34" w:rsidR="002B1B5D" w:rsidRPr="00346B95" w:rsidRDefault="002B1B5D" w:rsidP="00A0574F">
            <w:pPr>
              <w:spacing w:line="276" w:lineRule="auto"/>
              <w:jc w:val="center"/>
              <w:rPr>
                <w:rFonts w:cs="Times New Roman"/>
                <w:bCs/>
                <w:iCs/>
                <w:sz w:val="20"/>
                <w:szCs w:val="20"/>
              </w:rPr>
            </w:pPr>
            <w:r w:rsidRPr="00346B95">
              <w:rPr>
                <w:rFonts w:cs="Times New Roman"/>
                <w:bCs/>
                <w:iCs/>
                <w:sz w:val="20"/>
                <w:szCs w:val="20"/>
              </w:rPr>
              <w:t>3 membri</w:t>
            </w:r>
          </w:p>
        </w:tc>
        <w:tc>
          <w:tcPr>
            <w:tcW w:w="1985" w:type="dxa"/>
            <w:vAlign w:val="center"/>
          </w:tcPr>
          <w:p w14:paraId="4351D602" w14:textId="6F6C17C6" w:rsidR="002B1B5D" w:rsidRPr="00346B95" w:rsidRDefault="002B1B5D" w:rsidP="00A0574F">
            <w:pPr>
              <w:spacing w:line="276" w:lineRule="auto"/>
              <w:jc w:val="center"/>
              <w:rPr>
                <w:rFonts w:cs="Times New Roman"/>
                <w:bCs/>
                <w:iCs/>
                <w:sz w:val="20"/>
                <w:szCs w:val="20"/>
              </w:rPr>
            </w:pPr>
            <w:r w:rsidRPr="00346B95">
              <w:rPr>
                <w:rFonts w:cs="Times New Roman"/>
                <w:bCs/>
                <w:iCs/>
                <w:sz w:val="20"/>
                <w:szCs w:val="20"/>
              </w:rPr>
              <w:t>Crowe Bompani S.p.A.</w:t>
            </w:r>
          </w:p>
        </w:tc>
        <w:tc>
          <w:tcPr>
            <w:tcW w:w="991" w:type="dxa"/>
            <w:vAlign w:val="center"/>
          </w:tcPr>
          <w:p w14:paraId="358BF640" w14:textId="56446E1D" w:rsidR="002B1B5D" w:rsidRPr="00346B95" w:rsidRDefault="002B1B5D" w:rsidP="00A0574F">
            <w:pPr>
              <w:spacing w:line="276" w:lineRule="auto"/>
              <w:jc w:val="center"/>
              <w:rPr>
                <w:rFonts w:cs="Times New Roman"/>
                <w:bCs/>
                <w:iCs/>
                <w:sz w:val="20"/>
                <w:szCs w:val="20"/>
              </w:rPr>
            </w:pPr>
            <w:r w:rsidRPr="00346B95">
              <w:rPr>
                <w:rFonts w:cs="Times New Roman"/>
                <w:bCs/>
                <w:iCs/>
                <w:sz w:val="20"/>
                <w:szCs w:val="20"/>
              </w:rPr>
              <w:t>3 membri esterni</w:t>
            </w:r>
          </w:p>
        </w:tc>
      </w:tr>
      <w:tr w:rsidR="00E409C2" w:rsidRPr="00346B95" w14:paraId="10338B13" w14:textId="77777777" w:rsidTr="00DF390D">
        <w:trPr>
          <w:jc w:val="center"/>
        </w:trPr>
        <w:tc>
          <w:tcPr>
            <w:tcW w:w="1980" w:type="dxa"/>
            <w:vAlign w:val="center"/>
          </w:tcPr>
          <w:p w14:paraId="1595449A" w14:textId="42DFC1E3" w:rsidR="00E409C2" w:rsidRPr="005F6BB6" w:rsidRDefault="00E409C2" w:rsidP="00E409C2">
            <w:pPr>
              <w:spacing w:line="276" w:lineRule="auto"/>
              <w:jc w:val="center"/>
              <w:rPr>
                <w:rFonts w:cs="Times New Roman"/>
                <w:bCs/>
                <w:iCs/>
                <w:sz w:val="20"/>
                <w:szCs w:val="20"/>
              </w:rPr>
            </w:pPr>
            <w:r w:rsidRPr="005F6BB6">
              <w:rPr>
                <w:rFonts w:cs="Times New Roman"/>
                <w:bCs/>
                <w:iCs/>
                <w:sz w:val="20"/>
                <w:szCs w:val="20"/>
              </w:rPr>
              <w:t>Lunigiana Ambiente S.r.l.</w:t>
            </w:r>
          </w:p>
        </w:tc>
        <w:tc>
          <w:tcPr>
            <w:tcW w:w="2551" w:type="dxa"/>
            <w:vAlign w:val="center"/>
          </w:tcPr>
          <w:p w14:paraId="1A75768E" w14:textId="770FA31A" w:rsidR="00E409C2" w:rsidRPr="005F6BB6" w:rsidRDefault="00E409C2" w:rsidP="00E409C2">
            <w:pPr>
              <w:spacing w:line="276" w:lineRule="auto"/>
              <w:jc w:val="center"/>
              <w:rPr>
                <w:rFonts w:cs="Times New Roman"/>
                <w:bCs/>
                <w:iCs/>
                <w:sz w:val="20"/>
                <w:szCs w:val="20"/>
              </w:rPr>
            </w:pPr>
            <w:r w:rsidRPr="005F6BB6">
              <w:rPr>
                <w:rFonts w:cs="Times New Roman"/>
                <w:bCs/>
                <w:iCs/>
                <w:sz w:val="20"/>
                <w:szCs w:val="20"/>
              </w:rPr>
              <w:t>Amministratore Unico</w:t>
            </w:r>
          </w:p>
        </w:tc>
        <w:tc>
          <w:tcPr>
            <w:tcW w:w="2173" w:type="dxa"/>
            <w:vAlign w:val="center"/>
          </w:tcPr>
          <w:p w14:paraId="2751D850" w14:textId="42676E68" w:rsidR="00E409C2" w:rsidRPr="005F6BB6" w:rsidRDefault="00D574B9" w:rsidP="00E409C2">
            <w:pPr>
              <w:spacing w:line="276" w:lineRule="auto"/>
              <w:jc w:val="center"/>
              <w:rPr>
                <w:rFonts w:cs="Times New Roman"/>
                <w:bCs/>
                <w:iCs/>
                <w:sz w:val="20"/>
                <w:szCs w:val="20"/>
              </w:rPr>
            </w:pPr>
            <w:r w:rsidRPr="005F6BB6">
              <w:rPr>
                <w:rFonts w:cs="Times New Roman"/>
                <w:bCs/>
                <w:iCs/>
                <w:sz w:val="20"/>
                <w:szCs w:val="20"/>
              </w:rPr>
              <w:t>Mauro Zavani</w:t>
            </w:r>
          </w:p>
        </w:tc>
        <w:tc>
          <w:tcPr>
            <w:tcW w:w="1229" w:type="dxa"/>
            <w:vAlign w:val="center"/>
          </w:tcPr>
          <w:p w14:paraId="09E44DC8" w14:textId="0D57085E" w:rsidR="00E409C2" w:rsidRPr="005F6BB6" w:rsidRDefault="009E5E9C" w:rsidP="00E409C2">
            <w:pPr>
              <w:spacing w:line="276" w:lineRule="auto"/>
              <w:jc w:val="center"/>
              <w:rPr>
                <w:rFonts w:cs="Times New Roman"/>
                <w:bCs/>
                <w:iCs/>
                <w:sz w:val="20"/>
                <w:szCs w:val="20"/>
              </w:rPr>
            </w:pPr>
            <w:r w:rsidRPr="005F6BB6">
              <w:rPr>
                <w:rFonts w:cs="Times New Roman"/>
                <w:bCs/>
                <w:iCs/>
                <w:sz w:val="20"/>
                <w:szCs w:val="20"/>
              </w:rPr>
              <w:t>3 membri</w:t>
            </w:r>
          </w:p>
        </w:tc>
        <w:tc>
          <w:tcPr>
            <w:tcW w:w="1985" w:type="dxa"/>
            <w:shd w:val="clear" w:color="auto" w:fill="auto"/>
            <w:vAlign w:val="center"/>
          </w:tcPr>
          <w:p w14:paraId="1688A788" w14:textId="32C6B9D5" w:rsidR="00E409C2" w:rsidRPr="005F6BB6" w:rsidRDefault="00317333" w:rsidP="00E409C2">
            <w:pPr>
              <w:spacing w:line="276" w:lineRule="auto"/>
              <w:jc w:val="center"/>
              <w:rPr>
                <w:rFonts w:cs="Times New Roman"/>
                <w:bCs/>
                <w:iCs/>
                <w:sz w:val="20"/>
                <w:szCs w:val="20"/>
              </w:rPr>
            </w:pPr>
            <w:r w:rsidRPr="005F6BB6">
              <w:rPr>
                <w:rFonts w:cs="Times New Roman"/>
                <w:bCs/>
                <w:iCs/>
                <w:sz w:val="20"/>
                <w:szCs w:val="20"/>
              </w:rPr>
              <w:t xml:space="preserve">Marchi Marco        </w:t>
            </w:r>
            <w:r w:rsidR="00DF390D" w:rsidRPr="005F6BB6">
              <w:rPr>
                <w:rFonts w:cs="Times New Roman"/>
                <w:bCs/>
                <w:iCs/>
                <w:sz w:val="20"/>
                <w:szCs w:val="20"/>
              </w:rPr>
              <w:t>Vannucci Eleonora</w:t>
            </w:r>
            <w:r w:rsidR="007B51B1" w:rsidRPr="005F6BB6">
              <w:rPr>
                <w:rFonts w:cs="Times New Roman"/>
                <w:bCs/>
                <w:iCs/>
                <w:sz w:val="20"/>
                <w:szCs w:val="20"/>
              </w:rPr>
              <w:t xml:space="preserve"> </w:t>
            </w:r>
            <w:r w:rsidR="00934135" w:rsidRPr="005F6BB6">
              <w:rPr>
                <w:rFonts w:cs="Times New Roman"/>
                <w:bCs/>
                <w:iCs/>
                <w:sz w:val="20"/>
                <w:szCs w:val="20"/>
              </w:rPr>
              <w:t>Romani Matteo</w:t>
            </w:r>
            <w:r w:rsidR="00DF390D" w:rsidRPr="005F6BB6">
              <w:rPr>
                <w:rFonts w:cs="Times New Roman"/>
                <w:bCs/>
                <w:iCs/>
                <w:sz w:val="20"/>
                <w:szCs w:val="20"/>
              </w:rPr>
              <w:t xml:space="preserve"> </w:t>
            </w:r>
          </w:p>
        </w:tc>
        <w:tc>
          <w:tcPr>
            <w:tcW w:w="991" w:type="dxa"/>
            <w:vAlign w:val="center"/>
          </w:tcPr>
          <w:p w14:paraId="138FD6E3" w14:textId="61C5ED2E" w:rsidR="00E409C2" w:rsidRPr="005F6BB6" w:rsidRDefault="001F5DE3" w:rsidP="00E409C2">
            <w:pPr>
              <w:spacing w:line="276" w:lineRule="auto"/>
              <w:jc w:val="center"/>
              <w:rPr>
                <w:rFonts w:cs="Times New Roman"/>
                <w:bCs/>
                <w:iCs/>
                <w:sz w:val="20"/>
                <w:szCs w:val="20"/>
              </w:rPr>
            </w:pPr>
            <w:r>
              <w:rPr>
                <w:rFonts w:cs="Times New Roman"/>
                <w:bCs/>
                <w:iCs/>
                <w:sz w:val="20"/>
                <w:szCs w:val="20"/>
              </w:rPr>
              <w:t>assente</w:t>
            </w:r>
          </w:p>
        </w:tc>
      </w:tr>
      <w:tr w:rsidR="00E409C2" w:rsidRPr="00346B95" w14:paraId="6778A904" w14:textId="77777777" w:rsidTr="00DF390D">
        <w:trPr>
          <w:trHeight w:val="623"/>
          <w:jc w:val="center"/>
        </w:trPr>
        <w:tc>
          <w:tcPr>
            <w:tcW w:w="1980" w:type="dxa"/>
            <w:vAlign w:val="center"/>
          </w:tcPr>
          <w:p w14:paraId="301E5DE3" w14:textId="1AEC64AF" w:rsidR="00E409C2" w:rsidRPr="005F6BB6" w:rsidRDefault="00E409C2" w:rsidP="00E409C2">
            <w:pPr>
              <w:spacing w:line="276" w:lineRule="auto"/>
              <w:jc w:val="center"/>
              <w:rPr>
                <w:rFonts w:cs="Times New Roman"/>
                <w:bCs/>
                <w:iCs/>
                <w:sz w:val="20"/>
                <w:szCs w:val="20"/>
              </w:rPr>
            </w:pPr>
            <w:r w:rsidRPr="005F6BB6">
              <w:rPr>
                <w:rFonts w:cs="Times New Roman"/>
                <w:bCs/>
                <w:iCs/>
                <w:sz w:val="20"/>
                <w:szCs w:val="20"/>
              </w:rPr>
              <w:t>GEA S.r.l.</w:t>
            </w:r>
          </w:p>
        </w:tc>
        <w:tc>
          <w:tcPr>
            <w:tcW w:w="2551" w:type="dxa"/>
            <w:vAlign w:val="center"/>
          </w:tcPr>
          <w:p w14:paraId="18048B95" w14:textId="2877A68C" w:rsidR="00E409C2" w:rsidRPr="005F6BB6" w:rsidRDefault="00E409C2" w:rsidP="00E409C2">
            <w:pPr>
              <w:spacing w:line="276" w:lineRule="auto"/>
              <w:jc w:val="center"/>
              <w:rPr>
                <w:rFonts w:cs="Times New Roman"/>
                <w:bCs/>
                <w:iCs/>
                <w:sz w:val="20"/>
                <w:szCs w:val="20"/>
              </w:rPr>
            </w:pPr>
            <w:r w:rsidRPr="005F6BB6">
              <w:rPr>
                <w:rFonts w:cs="Times New Roman"/>
                <w:bCs/>
                <w:iCs/>
                <w:sz w:val="20"/>
                <w:szCs w:val="20"/>
              </w:rPr>
              <w:t>Amministratore Unico</w:t>
            </w:r>
          </w:p>
        </w:tc>
        <w:tc>
          <w:tcPr>
            <w:tcW w:w="2173" w:type="dxa"/>
            <w:vAlign w:val="center"/>
          </w:tcPr>
          <w:p w14:paraId="016B9CDD" w14:textId="50DF4BE9" w:rsidR="00E409C2" w:rsidRPr="005F6BB6" w:rsidRDefault="00D574B9" w:rsidP="00D574B9">
            <w:pPr>
              <w:spacing w:line="276" w:lineRule="auto"/>
              <w:rPr>
                <w:rFonts w:cs="Times New Roman"/>
                <w:bCs/>
                <w:iCs/>
                <w:sz w:val="20"/>
                <w:szCs w:val="20"/>
              </w:rPr>
            </w:pPr>
            <w:r w:rsidRPr="005F6BB6">
              <w:rPr>
                <w:rFonts w:cs="Times New Roman"/>
                <w:bCs/>
                <w:iCs/>
                <w:sz w:val="20"/>
                <w:szCs w:val="20"/>
              </w:rPr>
              <w:t>Giuseppe Paternò del Toscano</w:t>
            </w:r>
          </w:p>
        </w:tc>
        <w:tc>
          <w:tcPr>
            <w:tcW w:w="1229" w:type="dxa"/>
            <w:vAlign w:val="center"/>
          </w:tcPr>
          <w:p w14:paraId="186D7393" w14:textId="18ADDC92" w:rsidR="00E409C2" w:rsidRPr="005F6BB6" w:rsidRDefault="00FF2D1A" w:rsidP="00FF2D1A">
            <w:pPr>
              <w:spacing w:line="276" w:lineRule="auto"/>
              <w:rPr>
                <w:rFonts w:cs="Times New Roman"/>
                <w:bCs/>
                <w:iCs/>
                <w:sz w:val="20"/>
                <w:szCs w:val="20"/>
              </w:rPr>
            </w:pPr>
            <w:r w:rsidRPr="005F6BB6">
              <w:rPr>
                <w:rFonts w:cs="Times New Roman"/>
                <w:bCs/>
                <w:iCs/>
                <w:sz w:val="20"/>
                <w:szCs w:val="20"/>
              </w:rPr>
              <w:t>Revisore Unico</w:t>
            </w:r>
          </w:p>
        </w:tc>
        <w:tc>
          <w:tcPr>
            <w:tcW w:w="1985" w:type="dxa"/>
            <w:shd w:val="clear" w:color="auto" w:fill="auto"/>
            <w:vAlign w:val="center"/>
          </w:tcPr>
          <w:p w14:paraId="39F7851A" w14:textId="3BF1DF41" w:rsidR="00E409C2" w:rsidRPr="005F6BB6" w:rsidRDefault="00194468" w:rsidP="00E409C2">
            <w:pPr>
              <w:spacing w:line="276" w:lineRule="auto"/>
              <w:jc w:val="center"/>
              <w:rPr>
                <w:rFonts w:cs="Times New Roman"/>
                <w:bCs/>
                <w:iCs/>
                <w:sz w:val="20"/>
                <w:szCs w:val="20"/>
              </w:rPr>
            </w:pPr>
            <w:r>
              <w:rPr>
                <w:rFonts w:cs="Times New Roman"/>
                <w:bCs/>
                <w:iCs/>
                <w:sz w:val="20"/>
                <w:szCs w:val="20"/>
              </w:rPr>
              <w:t>Santucci Alessandro</w:t>
            </w:r>
          </w:p>
        </w:tc>
        <w:tc>
          <w:tcPr>
            <w:tcW w:w="991" w:type="dxa"/>
            <w:vAlign w:val="center"/>
          </w:tcPr>
          <w:p w14:paraId="67BA0C59" w14:textId="51EE9FCA" w:rsidR="00E409C2" w:rsidRPr="005F6BB6" w:rsidRDefault="001F5DE3" w:rsidP="00E409C2">
            <w:pPr>
              <w:spacing w:line="276" w:lineRule="auto"/>
              <w:jc w:val="center"/>
              <w:rPr>
                <w:rFonts w:cs="Times New Roman"/>
                <w:bCs/>
                <w:iCs/>
                <w:sz w:val="20"/>
                <w:szCs w:val="20"/>
              </w:rPr>
            </w:pPr>
            <w:r>
              <w:rPr>
                <w:rFonts w:cs="Times New Roman"/>
                <w:bCs/>
                <w:iCs/>
                <w:sz w:val="20"/>
                <w:szCs w:val="20"/>
              </w:rPr>
              <w:t>assente</w:t>
            </w:r>
          </w:p>
        </w:tc>
      </w:tr>
    </w:tbl>
    <w:p w14:paraId="56691692" w14:textId="77777777" w:rsidR="00223060" w:rsidRDefault="00223060" w:rsidP="00EB7461">
      <w:pPr>
        <w:rPr>
          <w:bCs/>
          <w:iCs/>
          <w:szCs w:val="24"/>
        </w:rPr>
      </w:pPr>
    </w:p>
    <w:p w14:paraId="3CDF45A6" w14:textId="757E5967" w:rsidR="005055AB" w:rsidRPr="001601AE" w:rsidRDefault="005055AB" w:rsidP="00EB7461">
      <w:pPr>
        <w:rPr>
          <w:bCs/>
          <w:iCs/>
          <w:szCs w:val="24"/>
        </w:rPr>
      </w:pPr>
      <w:r w:rsidRPr="005055AB">
        <w:rPr>
          <w:bCs/>
          <w:iCs/>
          <w:szCs w:val="24"/>
        </w:rPr>
        <w:t>All’interno di ciascuna Società del Gruppo sono state conferite specifiche deleghe e procure. Per un dettaglio di queste ultime si rinvia al MOD0</w:t>
      </w:r>
      <w:r w:rsidR="00A0574F">
        <w:rPr>
          <w:bCs/>
          <w:iCs/>
          <w:szCs w:val="24"/>
        </w:rPr>
        <w:t>9</w:t>
      </w:r>
      <w:r w:rsidRPr="005055AB">
        <w:rPr>
          <w:bCs/>
          <w:iCs/>
          <w:szCs w:val="24"/>
        </w:rPr>
        <w:t xml:space="preserve">_PG </w:t>
      </w:r>
      <w:r w:rsidR="00A0574F">
        <w:rPr>
          <w:bCs/>
          <w:iCs/>
          <w:szCs w:val="24"/>
        </w:rPr>
        <w:t>107</w:t>
      </w:r>
      <w:r w:rsidRPr="005055AB">
        <w:rPr>
          <w:bCs/>
          <w:iCs/>
          <w:szCs w:val="24"/>
        </w:rPr>
        <w:t xml:space="preserve"> - </w:t>
      </w:r>
      <w:r w:rsidRPr="005055AB">
        <w:rPr>
          <w:bCs/>
          <w:i/>
          <w:szCs w:val="24"/>
        </w:rPr>
        <w:t>Mappatura personale</w:t>
      </w:r>
      <w:r w:rsidRPr="005055AB">
        <w:rPr>
          <w:bCs/>
          <w:iCs/>
          <w:szCs w:val="24"/>
        </w:rPr>
        <w:t xml:space="preserve">. </w:t>
      </w:r>
      <w:r>
        <w:rPr>
          <w:bCs/>
          <w:iCs/>
          <w:szCs w:val="24"/>
        </w:rPr>
        <w:t xml:space="preserve">In quest’ultimo </w:t>
      </w:r>
      <w:r w:rsidRPr="001601AE">
        <w:rPr>
          <w:bCs/>
          <w:iCs/>
          <w:szCs w:val="24"/>
        </w:rPr>
        <w:t>documento è riportato, inoltre, il rischio corruttivo associato alle diverse categorie di personale.</w:t>
      </w:r>
    </w:p>
    <w:p w14:paraId="15C8BBF7" w14:textId="2A7A974A" w:rsidR="00EB7461" w:rsidRPr="001601AE" w:rsidRDefault="00AA1B25" w:rsidP="00EB7461">
      <w:pPr>
        <w:rPr>
          <w:bCs/>
          <w:iCs/>
          <w:szCs w:val="24"/>
        </w:rPr>
      </w:pPr>
      <w:r>
        <w:rPr>
          <w:bCs/>
          <w:iCs/>
          <w:szCs w:val="24"/>
        </w:rPr>
        <w:t>Nel sito internet di ciascuna Società del Gruppo, nella sezione “</w:t>
      </w:r>
      <w:r w:rsidRPr="00966BC5">
        <w:rPr>
          <w:bCs/>
          <w:i/>
          <w:szCs w:val="24"/>
        </w:rPr>
        <w:t>Società trasparente – Personale</w:t>
      </w:r>
      <w:r>
        <w:rPr>
          <w:bCs/>
          <w:iCs/>
          <w:szCs w:val="24"/>
        </w:rPr>
        <w:t xml:space="preserve">” è riportata la dotazione organica </w:t>
      </w:r>
      <w:r w:rsidR="00966BC5">
        <w:rPr>
          <w:bCs/>
          <w:iCs/>
          <w:szCs w:val="24"/>
        </w:rPr>
        <w:t xml:space="preserve">annua </w:t>
      </w:r>
      <w:r>
        <w:rPr>
          <w:bCs/>
          <w:iCs/>
          <w:szCs w:val="24"/>
        </w:rPr>
        <w:t xml:space="preserve">del personale. </w:t>
      </w:r>
    </w:p>
    <w:p w14:paraId="0F95F32D" w14:textId="34F9EE82" w:rsidR="00EB7461" w:rsidRPr="005055AB" w:rsidRDefault="00EB7461" w:rsidP="00EB7461">
      <w:pPr>
        <w:rPr>
          <w:bCs/>
          <w:iCs/>
          <w:szCs w:val="24"/>
        </w:rPr>
      </w:pPr>
      <w:r w:rsidRPr="005055AB">
        <w:rPr>
          <w:bCs/>
          <w:iCs/>
          <w:szCs w:val="24"/>
        </w:rPr>
        <w:t xml:space="preserve">Si evidenzia che nel 2022 la </w:t>
      </w:r>
      <w:r w:rsidR="005055AB" w:rsidRPr="005055AB">
        <w:rPr>
          <w:bCs/>
          <w:iCs/>
          <w:szCs w:val="24"/>
        </w:rPr>
        <w:t>Capogruppo</w:t>
      </w:r>
      <w:r w:rsidRPr="005055AB">
        <w:rPr>
          <w:bCs/>
          <w:iCs/>
          <w:szCs w:val="24"/>
        </w:rPr>
        <w:t xml:space="preserve"> ha avuto un rilevante incremento delle risorse aziendali. Infatti, l’organico è passato da 3 a 15 dipendenti. Nel 2023 è </w:t>
      </w:r>
      <w:r w:rsidR="00966BC5">
        <w:rPr>
          <w:bCs/>
          <w:iCs/>
          <w:szCs w:val="24"/>
        </w:rPr>
        <w:t>stato attuato</w:t>
      </w:r>
      <w:r w:rsidRPr="005055AB">
        <w:rPr>
          <w:bCs/>
          <w:iCs/>
          <w:szCs w:val="24"/>
        </w:rPr>
        <w:t xml:space="preserve"> un ulteriore incremento così da potenziare la struttura centrale del Gruppo e assicurare la possibilità di maggiore centralizzazione di alcuni processi.</w:t>
      </w:r>
    </w:p>
    <w:p w14:paraId="158F2103" w14:textId="3554EB87" w:rsidR="00EB7461" w:rsidRDefault="00EB7461" w:rsidP="00EB7461">
      <w:pPr>
        <w:rPr>
          <w:bCs/>
          <w:iCs/>
          <w:szCs w:val="24"/>
        </w:rPr>
      </w:pPr>
      <w:r w:rsidRPr="005055AB">
        <w:rPr>
          <w:bCs/>
          <w:iCs/>
          <w:szCs w:val="24"/>
        </w:rPr>
        <w:t xml:space="preserve">Sono presenti, infine, dei contratti di distacco di alcuni dipendenti </w:t>
      </w:r>
      <w:r w:rsidR="00AA1B25">
        <w:rPr>
          <w:bCs/>
          <w:iCs/>
          <w:szCs w:val="24"/>
        </w:rPr>
        <w:t xml:space="preserve">fra alcune società del gruppo, formalizzati da specifico </w:t>
      </w:r>
      <w:r w:rsidR="00172074">
        <w:rPr>
          <w:bCs/>
          <w:iCs/>
          <w:szCs w:val="24"/>
        </w:rPr>
        <w:t>accordo tra le parti</w:t>
      </w:r>
      <w:r w:rsidR="00AA1B25">
        <w:rPr>
          <w:bCs/>
          <w:iCs/>
          <w:szCs w:val="24"/>
        </w:rPr>
        <w:t>.</w:t>
      </w:r>
      <w:r w:rsidR="005055AB" w:rsidRPr="005055AB">
        <w:rPr>
          <w:bCs/>
          <w:iCs/>
          <w:szCs w:val="24"/>
        </w:rPr>
        <w:t xml:space="preserve"> </w:t>
      </w:r>
    </w:p>
    <w:p w14:paraId="627FEFA1" w14:textId="557DC49C" w:rsidR="00BB2B64" w:rsidRDefault="00BB2B64" w:rsidP="00EB7461">
      <w:pPr>
        <w:rPr>
          <w:bCs/>
          <w:iCs/>
          <w:szCs w:val="24"/>
        </w:rPr>
      </w:pPr>
      <w:r>
        <w:rPr>
          <w:bCs/>
          <w:iCs/>
          <w:szCs w:val="24"/>
        </w:rPr>
        <w:t xml:space="preserve">Al fine di disciplinare la collaborazione tra i Comuni Soci per l’esercizio in comune su RetiAmbiente di un potere di indirizzo e un controllo analogo a quello da essi esercitato sui propri servizi, i Soci medesimi hanno istituito un Comitato Unitario per il controllo analogo, composto dai legali </w:t>
      </w:r>
      <w:r>
        <w:rPr>
          <w:bCs/>
          <w:iCs/>
          <w:szCs w:val="24"/>
        </w:rPr>
        <w:lastRenderedPageBreak/>
        <w:t>rappresentanti o loro delegati, degli Enti locali soci di RetiAmbiente. Inoltre, sono stati istituiti dei Comitati ristretti operanti all’interno di ciascuna SOL, i cui compiti sono riconducibili al controllo di cui al Comitato Unitario di RetiAmbiente, oltre che alle verifiche sullo stato di attuazione degli obiettivi fissati sotto il profilo dell’efficacia ed economicità dei servizi resi sul territorio di riferimento.</w:t>
      </w:r>
    </w:p>
    <w:p w14:paraId="2D88390E" w14:textId="2BD35D75" w:rsidR="001D5FEE" w:rsidRDefault="001D5FEE" w:rsidP="00EB7461">
      <w:pPr>
        <w:rPr>
          <w:bCs/>
          <w:iCs/>
          <w:szCs w:val="24"/>
        </w:rPr>
      </w:pPr>
      <w:r>
        <w:rPr>
          <w:bCs/>
          <w:iCs/>
          <w:szCs w:val="24"/>
        </w:rPr>
        <w:t>La gestione di tal</w:t>
      </w:r>
      <w:r w:rsidR="00BB2B64">
        <w:rPr>
          <w:bCs/>
          <w:iCs/>
          <w:szCs w:val="24"/>
        </w:rPr>
        <w:t>i</w:t>
      </w:r>
      <w:r>
        <w:rPr>
          <w:bCs/>
          <w:iCs/>
          <w:szCs w:val="24"/>
        </w:rPr>
        <w:t xml:space="preserve"> Comitat</w:t>
      </w:r>
      <w:r w:rsidR="00BB2B64">
        <w:rPr>
          <w:bCs/>
          <w:iCs/>
          <w:szCs w:val="24"/>
        </w:rPr>
        <w:t>i</w:t>
      </w:r>
      <w:r>
        <w:rPr>
          <w:bCs/>
          <w:iCs/>
          <w:szCs w:val="24"/>
        </w:rPr>
        <w:t xml:space="preserve"> è disciplinata in apposito regolamento, visionabile al seguente link </w:t>
      </w:r>
      <w:hyperlink r:id="rId14" w:history="1">
        <w:r w:rsidRPr="00230040">
          <w:rPr>
            <w:rStyle w:val="Collegamentoipertestuale"/>
            <w:bCs/>
            <w:iCs/>
            <w:szCs w:val="24"/>
          </w:rPr>
          <w:t>https://www.retiambiente.it/societa-trasparente-retiambiente/organizzazione/titolari-di-incarichi-politici-di-amministrazione-di-direzione-o-di-governo/</w:t>
        </w:r>
      </w:hyperlink>
      <w:r w:rsidR="00527A6F">
        <w:rPr>
          <w:bCs/>
          <w:iCs/>
          <w:szCs w:val="24"/>
        </w:rPr>
        <w:t>.</w:t>
      </w:r>
    </w:p>
    <w:p w14:paraId="2EF2304E" w14:textId="77777777" w:rsidR="00EB7461" w:rsidRDefault="00EB7461" w:rsidP="00EB7461"/>
    <w:p w14:paraId="1C33ED5D" w14:textId="19D61FEC" w:rsidR="00EB7461" w:rsidRDefault="00EB7461" w:rsidP="00EB7461">
      <w:pPr>
        <w:pStyle w:val="Titolo1"/>
      </w:pPr>
      <w:bookmarkStart w:id="10" w:name="_Toc129262347"/>
      <w:bookmarkStart w:id="11" w:name="_Toc156660345"/>
      <w:r w:rsidRPr="00767042">
        <w:t>2. Comprendere le esigenze e le aspettative degli stakeholder</w:t>
      </w:r>
      <w:bookmarkEnd w:id="10"/>
      <w:bookmarkEnd w:id="11"/>
    </w:p>
    <w:p w14:paraId="39E177E7" w14:textId="747D985D" w:rsidR="00EB7461" w:rsidRDefault="00EB7461" w:rsidP="00EB7461">
      <w:r>
        <w:t xml:space="preserve">Il Gruppo RetiAmbiente ha definito, nella tabella che segue, gli stakeholder rilevanti per il Sistema di gestione per la prevenzione della corruzione. </w:t>
      </w:r>
    </w:p>
    <w:p w14:paraId="19C1B3CF" w14:textId="3B118DCB" w:rsidR="00EB7461" w:rsidRDefault="00EB7461" w:rsidP="00EB7461">
      <w:r>
        <w:t>I requisiti obbligatori, le aspettative non obbligatorie degli stakeholder e gli impegni assunti volontariamente dal Gruppo RetiAmbiente verso gli stessi sono stati considerati nella pianificazione del sistema di gestione per la prevenzione della corruzione e nella valutazione dei rischi corruttivi.</w:t>
      </w:r>
    </w:p>
    <w:p w14:paraId="371BCC57" w14:textId="77777777" w:rsidR="00EB7461" w:rsidRDefault="00EB7461" w:rsidP="00EB7461">
      <w:pPr>
        <w:sectPr w:rsidR="00EB7461" w:rsidSect="00600362">
          <w:headerReference w:type="default" r:id="rId15"/>
          <w:footerReference w:type="default" r:id="rId16"/>
          <w:pgSz w:w="11906" w:h="16838"/>
          <w:pgMar w:top="1417" w:right="1134" w:bottom="1134" w:left="1134" w:header="708" w:footer="708" w:gutter="0"/>
          <w:cols w:space="708"/>
          <w:docGrid w:linePitch="360"/>
        </w:sectPr>
      </w:pPr>
    </w:p>
    <w:p w14:paraId="407AEBAA" w14:textId="77777777" w:rsidR="00EB7461" w:rsidRDefault="00EB7461" w:rsidP="00EB7461"/>
    <w:tbl>
      <w:tblPr>
        <w:tblStyle w:val="Grigliatabella"/>
        <w:tblW w:w="16013" w:type="dxa"/>
        <w:jc w:val="center"/>
        <w:tblLook w:val="04A0" w:firstRow="1" w:lastRow="0" w:firstColumn="1" w:lastColumn="0" w:noHBand="0" w:noVBand="1"/>
      </w:tblPr>
      <w:tblGrid>
        <w:gridCol w:w="3114"/>
        <w:gridCol w:w="2268"/>
        <w:gridCol w:w="3544"/>
        <w:gridCol w:w="3691"/>
        <w:gridCol w:w="3396"/>
      </w:tblGrid>
      <w:tr w:rsidR="00EB7461" w:rsidRPr="00DC5808" w14:paraId="0836719B" w14:textId="77777777" w:rsidTr="00592C0C">
        <w:trPr>
          <w:tblHeader/>
          <w:jc w:val="center"/>
        </w:trPr>
        <w:tc>
          <w:tcPr>
            <w:tcW w:w="3114" w:type="dxa"/>
            <w:vAlign w:val="center"/>
          </w:tcPr>
          <w:p w14:paraId="46AFAC3A" w14:textId="77777777" w:rsidR="00EB7461" w:rsidRPr="00EE351A" w:rsidRDefault="00EB7461" w:rsidP="00592C0C">
            <w:pPr>
              <w:rPr>
                <w:b/>
                <w:bCs/>
              </w:rPr>
            </w:pPr>
            <w:r w:rsidRPr="00EE351A">
              <w:rPr>
                <w:b/>
                <w:bCs/>
              </w:rPr>
              <w:t>Parte interessata</w:t>
            </w:r>
          </w:p>
        </w:tc>
        <w:tc>
          <w:tcPr>
            <w:tcW w:w="2268" w:type="dxa"/>
            <w:vAlign w:val="center"/>
          </w:tcPr>
          <w:p w14:paraId="5C6F143F" w14:textId="77777777" w:rsidR="00EB7461" w:rsidRPr="00EE351A" w:rsidRDefault="00EB7461" w:rsidP="00592C0C">
            <w:pPr>
              <w:rPr>
                <w:b/>
                <w:bCs/>
              </w:rPr>
            </w:pPr>
            <w:r w:rsidRPr="00EE351A">
              <w:rPr>
                <w:b/>
                <w:bCs/>
              </w:rPr>
              <w:t>Interna/esterna</w:t>
            </w:r>
          </w:p>
        </w:tc>
        <w:tc>
          <w:tcPr>
            <w:tcW w:w="3544" w:type="dxa"/>
            <w:vAlign w:val="center"/>
          </w:tcPr>
          <w:p w14:paraId="2C68934C" w14:textId="77777777" w:rsidR="00EB7461" w:rsidRPr="00EE351A" w:rsidRDefault="00EB7461" w:rsidP="00592C0C">
            <w:pPr>
              <w:rPr>
                <w:b/>
                <w:bCs/>
              </w:rPr>
            </w:pPr>
            <w:r w:rsidRPr="00EE351A">
              <w:rPr>
                <w:b/>
                <w:bCs/>
              </w:rPr>
              <w:t>Requisiti</w:t>
            </w:r>
          </w:p>
        </w:tc>
        <w:tc>
          <w:tcPr>
            <w:tcW w:w="3691" w:type="dxa"/>
            <w:vAlign w:val="center"/>
          </w:tcPr>
          <w:p w14:paraId="42E79F5A" w14:textId="77777777" w:rsidR="00EB7461" w:rsidRPr="00EE351A" w:rsidRDefault="00EB7461" w:rsidP="00592C0C">
            <w:pPr>
              <w:rPr>
                <w:b/>
                <w:bCs/>
              </w:rPr>
            </w:pPr>
            <w:r w:rsidRPr="00EE351A">
              <w:rPr>
                <w:b/>
                <w:bCs/>
              </w:rPr>
              <w:t>Aspettative</w:t>
            </w:r>
          </w:p>
        </w:tc>
        <w:tc>
          <w:tcPr>
            <w:tcW w:w="3396" w:type="dxa"/>
            <w:vAlign w:val="center"/>
          </w:tcPr>
          <w:p w14:paraId="4AD92A3E" w14:textId="77777777" w:rsidR="00EB7461" w:rsidRPr="00EE351A" w:rsidRDefault="00EB7461" w:rsidP="00592C0C">
            <w:pPr>
              <w:rPr>
                <w:b/>
                <w:bCs/>
              </w:rPr>
            </w:pPr>
            <w:r w:rsidRPr="00EE351A">
              <w:rPr>
                <w:b/>
                <w:bCs/>
              </w:rPr>
              <w:t>Impegni volontari</w:t>
            </w:r>
          </w:p>
        </w:tc>
      </w:tr>
      <w:tr w:rsidR="00EB7461" w:rsidRPr="00DC5808" w14:paraId="037813CD" w14:textId="77777777" w:rsidTr="00592C0C">
        <w:trPr>
          <w:jc w:val="center"/>
        </w:trPr>
        <w:tc>
          <w:tcPr>
            <w:tcW w:w="3114" w:type="dxa"/>
            <w:vAlign w:val="center"/>
          </w:tcPr>
          <w:p w14:paraId="2BB0FC0F" w14:textId="190E8C84" w:rsidR="00EB7461" w:rsidRPr="00EE351A" w:rsidRDefault="00EB7461" w:rsidP="00592C0C">
            <w:pPr>
              <w:spacing w:line="240" w:lineRule="auto"/>
              <w:rPr>
                <w:sz w:val="22"/>
                <w:szCs w:val="20"/>
              </w:rPr>
            </w:pPr>
            <w:r w:rsidRPr="00EE351A">
              <w:rPr>
                <w:sz w:val="22"/>
                <w:szCs w:val="20"/>
              </w:rPr>
              <w:t>Organo Amministrativo</w:t>
            </w:r>
            <w:r w:rsidR="00EE351A" w:rsidRPr="00EE351A">
              <w:rPr>
                <w:sz w:val="22"/>
                <w:szCs w:val="20"/>
              </w:rPr>
              <w:t xml:space="preserve"> di ciascuna Società del Gruppo</w:t>
            </w:r>
          </w:p>
        </w:tc>
        <w:tc>
          <w:tcPr>
            <w:tcW w:w="2268" w:type="dxa"/>
            <w:vAlign w:val="center"/>
          </w:tcPr>
          <w:p w14:paraId="3FC2A07E" w14:textId="77777777" w:rsidR="00EB7461" w:rsidRPr="00EE351A" w:rsidRDefault="00EB7461" w:rsidP="00592C0C">
            <w:pPr>
              <w:spacing w:line="240" w:lineRule="auto"/>
              <w:rPr>
                <w:sz w:val="22"/>
                <w:szCs w:val="20"/>
              </w:rPr>
            </w:pPr>
            <w:r w:rsidRPr="00EE351A">
              <w:rPr>
                <w:sz w:val="22"/>
                <w:szCs w:val="20"/>
              </w:rPr>
              <w:t>Interna</w:t>
            </w:r>
          </w:p>
        </w:tc>
        <w:tc>
          <w:tcPr>
            <w:tcW w:w="3544" w:type="dxa"/>
            <w:vAlign w:val="center"/>
          </w:tcPr>
          <w:p w14:paraId="2893E1D5" w14:textId="77777777" w:rsidR="00EB7461" w:rsidRPr="00EE351A" w:rsidRDefault="00EB7461" w:rsidP="00592C0C">
            <w:pPr>
              <w:spacing w:line="240" w:lineRule="auto"/>
              <w:rPr>
                <w:sz w:val="22"/>
                <w:szCs w:val="20"/>
              </w:rPr>
            </w:pPr>
            <w:r w:rsidRPr="00EE351A">
              <w:rPr>
                <w:sz w:val="22"/>
                <w:szCs w:val="20"/>
              </w:rPr>
              <w:t>1. Rispetto della normativa applicabile</w:t>
            </w:r>
          </w:p>
          <w:p w14:paraId="4C4B7CF9" w14:textId="77777777" w:rsidR="00EB7461" w:rsidRPr="00EE351A" w:rsidRDefault="00EB7461" w:rsidP="00592C0C">
            <w:pPr>
              <w:spacing w:line="240" w:lineRule="auto"/>
              <w:rPr>
                <w:sz w:val="22"/>
                <w:szCs w:val="20"/>
              </w:rPr>
            </w:pPr>
            <w:r w:rsidRPr="00EE351A">
              <w:rPr>
                <w:sz w:val="22"/>
                <w:szCs w:val="20"/>
              </w:rPr>
              <w:t>2. Trasparenza e veridicità delle informazioni</w:t>
            </w:r>
          </w:p>
          <w:p w14:paraId="07063912" w14:textId="77777777" w:rsidR="00EB7461" w:rsidRPr="00EE351A" w:rsidRDefault="00EB7461" w:rsidP="00592C0C">
            <w:pPr>
              <w:spacing w:line="240" w:lineRule="auto"/>
              <w:rPr>
                <w:sz w:val="22"/>
                <w:szCs w:val="20"/>
              </w:rPr>
            </w:pPr>
            <w:r w:rsidRPr="00EE351A">
              <w:rPr>
                <w:sz w:val="22"/>
                <w:szCs w:val="20"/>
              </w:rPr>
              <w:t xml:space="preserve">3. Soddisfazione degli utenti </w:t>
            </w:r>
          </w:p>
          <w:p w14:paraId="14C82E80" w14:textId="77777777" w:rsidR="00EB7461" w:rsidRPr="00EE351A" w:rsidRDefault="00EB7461" w:rsidP="00592C0C">
            <w:pPr>
              <w:spacing w:line="240" w:lineRule="auto"/>
              <w:rPr>
                <w:sz w:val="22"/>
                <w:szCs w:val="20"/>
              </w:rPr>
            </w:pPr>
            <w:r w:rsidRPr="00EE351A">
              <w:rPr>
                <w:sz w:val="22"/>
                <w:szCs w:val="20"/>
              </w:rPr>
              <w:t>4. Qualità e continuità del servizio</w:t>
            </w:r>
          </w:p>
          <w:p w14:paraId="5EAC9880" w14:textId="77777777" w:rsidR="00EB7461" w:rsidRPr="00EE351A" w:rsidRDefault="00EB7461" w:rsidP="00592C0C">
            <w:pPr>
              <w:spacing w:line="240" w:lineRule="auto"/>
              <w:rPr>
                <w:sz w:val="22"/>
                <w:szCs w:val="20"/>
              </w:rPr>
            </w:pPr>
            <w:r w:rsidRPr="00EE351A">
              <w:rPr>
                <w:sz w:val="22"/>
                <w:szCs w:val="20"/>
              </w:rPr>
              <w:t>5. Gestione adeguata del rischio</w:t>
            </w:r>
          </w:p>
        </w:tc>
        <w:tc>
          <w:tcPr>
            <w:tcW w:w="3691" w:type="dxa"/>
            <w:vAlign w:val="center"/>
          </w:tcPr>
          <w:p w14:paraId="1E634297" w14:textId="77777777" w:rsidR="00EB7461" w:rsidRPr="00EE351A" w:rsidRDefault="00EB7461" w:rsidP="00592C0C">
            <w:pPr>
              <w:spacing w:line="240" w:lineRule="auto"/>
              <w:rPr>
                <w:sz w:val="22"/>
                <w:szCs w:val="20"/>
              </w:rPr>
            </w:pPr>
            <w:r w:rsidRPr="00EE351A">
              <w:rPr>
                <w:sz w:val="22"/>
                <w:szCs w:val="20"/>
              </w:rPr>
              <w:t>1. Miglioramento dell'efficienza della gestione</w:t>
            </w:r>
          </w:p>
          <w:p w14:paraId="60FE5765" w14:textId="77777777" w:rsidR="00EB7461" w:rsidRPr="00EE351A" w:rsidRDefault="00EB7461" w:rsidP="00592C0C">
            <w:pPr>
              <w:spacing w:line="240" w:lineRule="auto"/>
              <w:rPr>
                <w:sz w:val="22"/>
                <w:szCs w:val="20"/>
              </w:rPr>
            </w:pPr>
            <w:r w:rsidRPr="00EE351A">
              <w:rPr>
                <w:sz w:val="22"/>
                <w:szCs w:val="20"/>
              </w:rPr>
              <w:t>2. Immagine aziendale positiva sul territorio</w:t>
            </w:r>
          </w:p>
          <w:p w14:paraId="186BB4E8" w14:textId="77777777" w:rsidR="00EB7461" w:rsidRPr="00EE351A" w:rsidRDefault="00EB7461" w:rsidP="00592C0C">
            <w:pPr>
              <w:spacing w:line="240" w:lineRule="auto"/>
              <w:rPr>
                <w:sz w:val="22"/>
                <w:szCs w:val="20"/>
              </w:rPr>
            </w:pPr>
            <w:r w:rsidRPr="00EE351A">
              <w:rPr>
                <w:sz w:val="22"/>
                <w:szCs w:val="20"/>
              </w:rPr>
              <w:t>3. Rafforzare la trasparenza dei processi decisionali ed assicurare che l’impiego delle risorse pubbliche avvenga nel rispetto della correttezza gestionale perseguendo obiettivi di efficienza ed efficacia</w:t>
            </w:r>
          </w:p>
        </w:tc>
        <w:tc>
          <w:tcPr>
            <w:tcW w:w="3396" w:type="dxa"/>
            <w:vAlign w:val="center"/>
          </w:tcPr>
          <w:p w14:paraId="7707DB61" w14:textId="77777777" w:rsidR="00EB7461" w:rsidRPr="00EE351A" w:rsidRDefault="00EB7461" w:rsidP="00592C0C">
            <w:pPr>
              <w:spacing w:line="240" w:lineRule="auto"/>
              <w:rPr>
                <w:sz w:val="22"/>
                <w:szCs w:val="20"/>
              </w:rPr>
            </w:pPr>
            <w:r w:rsidRPr="00EE351A">
              <w:rPr>
                <w:sz w:val="22"/>
                <w:szCs w:val="20"/>
              </w:rPr>
              <w:t>1. Potenziamento dei controlli sui processi di acquisto che continueranno ad essere gestiti in modo decentralizzato dalle SOL per permettere alla capogruppo di vigilare sulla loro corretta gestione</w:t>
            </w:r>
          </w:p>
        </w:tc>
      </w:tr>
      <w:tr w:rsidR="00EB7461" w:rsidRPr="00DC5808" w14:paraId="0AAB5852" w14:textId="77777777" w:rsidTr="00592C0C">
        <w:trPr>
          <w:jc w:val="center"/>
        </w:trPr>
        <w:tc>
          <w:tcPr>
            <w:tcW w:w="3114" w:type="dxa"/>
            <w:vAlign w:val="center"/>
          </w:tcPr>
          <w:p w14:paraId="309C40D1" w14:textId="3D55E98E" w:rsidR="00EB7461" w:rsidRPr="00EE351A" w:rsidRDefault="00EB7461" w:rsidP="00592C0C">
            <w:pPr>
              <w:spacing w:line="240" w:lineRule="auto"/>
              <w:rPr>
                <w:sz w:val="22"/>
                <w:szCs w:val="20"/>
              </w:rPr>
            </w:pPr>
            <w:r w:rsidRPr="00EE351A">
              <w:rPr>
                <w:sz w:val="22"/>
                <w:szCs w:val="20"/>
              </w:rPr>
              <w:t>Collegio Sindacale</w:t>
            </w:r>
            <w:r w:rsidR="00EE351A" w:rsidRPr="00EE351A">
              <w:rPr>
                <w:sz w:val="22"/>
                <w:szCs w:val="20"/>
              </w:rPr>
              <w:t xml:space="preserve"> di ciascuna Società del Gruppo</w:t>
            </w:r>
          </w:p>
        </w:tc>
        <w:tc>
          <w:tcPr>
            <w:tcW w:w="2268" w:type="dxa"/>
            <w:vAlign w:val="center"/>
          </w:tcPr>
          <w:p w14:paraId="756F653E" w14:textId="77777777" w:rsidR="00EB7461" w:rsidRPr="00EE351A" w:rsidRDefault="00EB7461" w:rsidP="00592C0C">
            <w:pPr>
              <w:spacing w:line="240" w:lineRule="auto"/>
              <w:rPr>
                <w:sz w:val="22"/>
                <w:szCs w:val="20"/>
              </w:rPr>
            </w:pPr>
            <w:r w:rsidRPr="00EE351A">
              <w:rPr>
                <w:sz w:val="22"/>
                <w:szCs w:val="20"/>
              </w:rPr>
              <w:t>Interna</w:t>
            </w:r>
          </w:p>
        </w:tc>
        <w:tc>
          <w:tcPr>
            <w:tcW w:w="3544" w:type="dxa"/>
            <w:vAlign w:val="center"/>
          </w:tcPr>
          <w:p w14:paraId="4D8BFB20" w14:textId="77777777" w:rsidR="00EB7461" w:rsidRPr="00EE351A" w:rsidRDefault="00EB7461" w:rsidP="00592C0C">
            <w:pPr>
              <w:spacing w:line="240" w:lineRule="auto"/>
              <w:rPr>
                <w:sz w:val="22"/>
                <w:szCs w:val="20"/>
              </w:rPr>
            </w:pPr>
            <w:r w:rsidRPr="00EE351A">
              <w:rPr>
                <w:sz w:val="22"/>
                <w:szCs w:val="20"/>
              </w:rPr>
              <w:t>1. Rispetto della normativa applicabile</w:t>
            </w:r>
          </w:p>
          <w:p w14:paraId="0E2DE15B" w14:textId="77777777" w:rsidR="00EB7461" w:rsidRPr="00EE351A" w:rsidRDefault="00EB7461" w:rsidP="00592C0C">
            <w:pPr>
              <w:spacing w:line="240" w:lineRule="auto"/>
              <w:rPr>
                <w:sz w:val="22"/>
                <w:szCs w:val="20"/>
              </w:rPr>
            </w:pPr>
            <w:r w:rsidRPr="00EE351A">
              <w:rPr>
                <w:sz w:val="22"/>
                <w:szCs w:val="20"/>
              </w:rPr>
              <w:t>2. Trasparenza e veridicità delle informazioni</w:t>
            </w:r>
          </w:p>
          <w:p w14:paraId="112B14A9" w14:textId="77777777" w:rsidR="00EB7461" w:rsidRPr="00EE351A" w:rsidRDefault="00EB7461" w:rsidP="00592C0C">
            <w:pPr>
              <w:spacing w:line="240" w:lineRule="auto"/>
              <w:rPr>
                <w:sz w:val="22"/>
                <w:szCs w:val="20"/>
              </w:rPr>
            </w:pPr>
            <w:r w:rsidRPr="00EE351A">
              <w:rPr>
                <w:sz w:val="22"/>
                <w:szCs w:val="20"/>
              </w:rPr>
              <w:t>3. Gestione adeguata del rischio</w:t>
            </w:r>
          </w:p>
        </w:tc>
        <w:tc>
          <w:tcPr>
            <w:tcW w:w="3691" w:type="dxa"/>
            <w:vAlign w:val="center"/>
          </w:tcPr>
          <w:p w14:paraId="3CC45E81" w14:textId="77777777" w:rsidR="00EB7461" w:rsidRPr="00EE351A" w:rsidRDefault="00EB7461" w:rsidP="00592C0C">
            <w:pPr>
              <w:spacing w:line="240" w:lineRule="auto"/>
              <w:rPr>
                <w:sz w:val="22"/>
                <w:szCs w:val="20"/>
              </w:rPr>
            </w:pPr>
            <w:r w:rsidRPr="00EE351A">
              <w:rPr>
                <w:sz w:val="22"/>
                <w:szCs w:val="20"/>
              </w:rPr>
              <w:t>Migliore comunicazione tra gli organi di amministrazione, direzione e controllo circa il funzionamento dei controlli interni per prevenire la corruzione</w:t>
            </w:r>
          </w:p>
        </w:tc>
        <w:tc>
          <w:tcPr>
            <w:tcW w:w="3396" w:type="dxa"/>
            <w:vAlign w:val="center"/>
          </w:tcPr>
          <w:p w14:paraId="546A3CCD" w14:textId="72A21CF7" w:rsidR="00EB7461" w:rsidRPr="00EE351A" w:rsidRDefault="00EB7461" w:rsidP="00592C0C">
            <w:pPr>
              <w:spacing w:line="240" w:lineRule="auto"/>
              <w:rPr>
                <w:sz w:val="22"/>
                <w:szCs w:val="20"/>
              </w:rPr>
            </w:pPr>
            <w:r w:rsidRPr="00EE351A">
              <w:rPr>
                <w:sz w:val="22"/>
                <w:szCs w:val="20"/>
              </w:rPr>
              <w:t>Collaborazione fra gli organi di controllo dell</w:t>
            </w:r>
            <w:r w:rsidR="00EE351A">
              <w:rPr>
                <w:sz w:val="22"/>
                <w:szCs w:val="20"/>
              </w:rPr>
              <w:t>e Società del Gruppo</w:t>
            </w:r>
          </w:p>
        </w:tc>
      </w:tr>
      <w:tr w:rsidR="00EB7461" w:rsidRPr="00DC5808" w14:paraId="182CC4EA" w14:textId="77777777" w:rsidTr="00592C0C">
        <w:trPr>
          <w:jc w:val="center"/>
        </w:trPr>
        <w:tc>
          <w:tcPr>
            <w:tcW w:w="3114" w:type="dxa"/>
            <w:vAlign w:val="center"/>
          </w:tcPr>
          <w:p w14:paraId="6A67FF14" w14:textId="1E9DD866" w:rsidR="00EB7461" w:rsidRPr="00EE351A" w:rsidRDefault="00EB7461" w:rsidP="00592C0C">
            <w:pPr>
              <w:spacing w:line="240" w:lineRule="auto"/>
              <w:rPr>
                <w:sz w:val="22"/>
                <w:szCs w:val="20"/>
              </w:rPr>
            </w:pPr>
            <w:r w:rsidRPr="00EE351A">
              <w:rPr>
                <w:sz w:val="22"/>
                <w:szCs w:val="20"/>
              </w:rPr>
              <w:t>Organismo di Vigilanza</w:t>
            </w:r>
            <w:r w:rsidR="00EE351A" w:rsidRPr="00EE351A">
              <w:rPr>
                <w:sz w:val="22"/>
                <w:szCs w:val="20"/>
              </w:rPr>
              <w:t xml:space="preserve"> di ciascuna Società del Gruppo</w:t>
            </w:r>
          </w:p>
        </w:tc>
        <w:tc>
          <w:tcPr>
            <w:tcW w:w="2268" w:type="dxa"/>
            <w:vAlign w:val="center"/>
          </w:tcPr>
          <w:p w14:paraId="32B1926F" w14:textId="77777777" w:rsidR="00EB7461" w:rsidRPr="00EE351A" w:rsidRDefault="00EB7461" w:rsidP="00592C0C">
            <w:pPr>
              <w:spacing w:line="240" w:lineRule="auto"/>
              <w:rPr>
                <w:sz w:val="22"/>
                <w:szCs w:val="20"/>
              </w:rPr>
            </w:pPr>
            <w:r w:rsidRPr="00EE351A">
              <w:rPr>
                <w:sz w:val="22"/>
                <w:szCs w:val="20"/>
              </w:rPr>
              <w:t>Interna</w:t>
            </w:r>
          </w:p>
        </w:tc>
        <w:tc>
          <w:tcPr>
            <w:tcW w:w="3544" w:type="dxa"/>
            <w:vAlign w:val="center"/>
          </w:tcPr>
          <w:p w14:paraId="614B82F1" w14:textId="77777777" w:rsidR="00EB7461" w:rsidRPr="00EE351A" w:rsidRDefault="00EB7461" w:rsidP="00592C0C">
            <w:pPr>
              <w:spacing w:line="240" w:lineRule="auto"/>
              <w:rPr>
                <w:sz w:val="22"/>
                <w:szCs w:val="20"/>
              </w:rPr>
            </w:pPr>
            <w:r w:rsidRPr="00EE351A">
              <w:rPr>
                <w:sz w:val="22"/>
                <w:szCs w:val="20"/>
              </w:rPr>
              <w:t>1. Rispetto della normativa applicabile</w:t>
            </w:r>
          </w:p>
          <w:p w14:paraId="28EB307E" w14:textId="77777777" w:rsidR="00EB7461" w:rsidRPr="00EE351A" w:rsidRDefault="00EB7461" w:rsidP="00592C0C">
            <w:pPr>
              <w:spacing w:line="240" w:lineRule="auto"/>
              <w:rPr>
                <w:sz w:val="22"/>
                <w:szCs w:val="20"/>
              </w:rPr>
            </w:pPr>
            <w:r w:rsidRPr="00EE351A">
              <w:rPr>
                <w:sz w:val="22"/>
                <w:szCs w:val="20"/>
              </w:rPr>
              <w:t>2. Trasparenza e veridicità delle informazioni</w:t>
            </w:r>
          </w:p>
          <w:p w14:paraId="61B01C8D" w14:textId="77777777" w:rsidR="00EB7461" w:rsidRPr="00EE351A" w:rsidRDefault="00EB7461" w:rsidP="00592C0C">
            <w:pPr>
              <w:spacing w:line="240" w:lineRule="auto"/>
              <w:rPr>
                <w:sz w:val="22"/>
                <w:szCs w:val="20"/>
              </w:rPr>
            </w:pPr>
            <w:r w:rsidRPr="00EE351A">
              <w:rPr>
                <w:sz w:val="22"/>
                <w:szCs w:val="20"/>
              </w:rPr>
              <w:t>3. Gestione adeguata del rischio</w:t>
            </w:r>
          </w:p>
        </w:tc>
        <w:tc>
          <w:tcPr>
            <w:tcW w:w="3691" w:type="dxa"/>
            <w:vAlign w:val="center"/>
          </w:tcPr>
          <w:p w14:paraId="3C4431B4" w14:textId="77777777" w:rsidR="00EB7461" w:rsidRPr="00EE351A" w:rsidRDefault="00EB7461" w:rsidP="00592C0C">
            <w:pPr>
              <w:spacing w:line="240" w:lineRule="auto"/>
              <w:rPr>
                <w:sz w:val="22"/>
                <w:szCs w:val="20"/>
              </w:rPr>
            </w:pPr>
            <w:r w:rsidRPr="00EE351A">
              <w:rPr>
                <w:sz w:val="22"/>
                <w:szCs w:val="20"/>
              </w:rPr>
              <w:t>Migliore comunicazione tra gli organi di amministrazione, direzione e controllo circa il funzionamento dei controlli interni per prevenire la corruzione</w:t>
            </w:r>
          </w:p>
        </w:tc>
        <w:tc>
          <w:tcPr>
            <w:tcW w:w="3396" w:type="dxa"/>
            <w:vAlign w:val="center"/>
          </w:tcPr>
          <w:p w14:paraId="1F33901F" w14:textId="77777777" w:rsidR="00EB7461" w:rsidRPr="00EE351A" w:rsidRDefault="00EB7461" w:rsidP="00592C0C">
            <w:pPr>
              <w:spacing w:line="240" w:lineRule="auto"/>
              <w:rPr>
                <w:sz w:val="22"/>
                <w:szCs w:val="20"/>
              </w:rPr>
            </w:pPr>
            <w:r w:rsidRPr="00EE351A">
              <w:rPr>
                <w:sz w:val="22"/>
                <w:szCs w:val="20"/>
              </w:rPr>
              <w:t>Rafforzamento dei sistemi di gestione delle segnalazioni di fenomeni corruttivi</w:t>
            </w:r>
          </w:p>
        </w:tc>
      </w:tr>
      <w:tr w:rsidR="00EB7461" w:rsidRPr="00DC5808" w14:paraId="011B694B" w14:textId="77777777" w:rsidTr="00592C0C">
        <w:trPr>
          <w:jc w:val="center"/>
        </w:trPr>
        <w:tc>
          <w:tcPr>
            <w:tcW w:w="3114" w:type="dxa"/>
            <w:vAlign w:val="center"/>
          </w:tcPr>
          <w:p w14:paraId="088AFBB6" w14:textId="77777777" w:rsidR="00EB7461" w:rsidRPr="00EE351A" w:rsidRDefault="00EB7461" w:rsidP="00592C0C">
            <w:pPr>
              <w:spacing w:line="240" w:lineRule="auto"/>
              <w:rPr>
                <w:sz w:val="22"/>
                <w:szCs w:val="20"/>
              </w:rPr>
            </w:pPr>
            <w:r w:rsidRPr="00EE351A">
              <w:rPr>
                <w:sz w:val="22"/>
                <w:szCs w:val="20"/>
              </w:rPr>
              <w:t>Dipendenti</w:t>
            </w:r>
          </w:p>
        </w:tc>
        <w:tc>
          <w:tcPr>
            <w:tcW w:w="2268" w:type="dxa"/>
            <w:vAlign w:val="center"/>
          </w:tcPr>
          <w:p w14:paraId="56E71928" w14:textId="77777777" w:rsidR="00EB7461" w:rsidRPr="00EE351A" w:rsidRDefault="00EB7461" w:rsidP="00592C0C">
            <w:pPr>
              <w:spacing w:line="240" w:lineRule="auto"/>
              <w:rPr>
                <w:sz w:val="22"/>
                <w:szCs w:val="20"/>
              </w:rPr>
            </w:pPr>
            <w:r w:rsidRPr="00EE351A">
              <w:rPr>
                <w:sz w:val="22"/>
                <w:szCs w:val="20"/>
              </w:rPr>
              <w:t>Interna</w:t>
            </w:r>
          </w:p>
        </w:tc>
        <w:tc>
          <w:tcPr>
            <w:tcW w:w="3544" w:type="dxa"/>
            <w:vAlign w:val="center"/>
          </w:tcPr>
          <w:p w14:paraId="7ABCFB87" w14:textId="77777777" w:rsidR="00EB7461" w:rsidRPr="00EE351A" w:rsidRDefault="00EB7461" w:rsidP="00592C0C">
            <w:pPr>
              <w:spacing w:line="240" w:lineRule="auto"/>
              <w:rPr>
                <w:sz w:val="22"/>
                <w:szCs w:val="20"/>
              </w:rPr>
            </w:pPr>
            <w:r w:rsidRPr="00EE351A">
              <w:rPr>
                <w:sz w:val="22"/>
                <w:szCs w:val="20"/>
              </w:rPr>
              <w:t>1. Stipendio congruo e con pagamenti regolari</w:t>
            </w:r>
          </w:p>
          <w:p w14:paraId="3F0A6EBE" w14:textId="77777777" w:rsidR="00EB7461" w:rsidRPr="00EE351A" w:rsidRDefault="00EB7461" w:rsidP="00592C0C">
            <w:pPr>
              <w:spacing w:line="240" w:lineRule="auto"/>
              <w:rPr>
                <w:sz w:val="22"/>
                <w:szCs w:val="20"/>
              </w:rPr>
            </w:pPr>
            <w:r w:rsidRPr="00EE351A">
              <w:rPr>
                <w:sz w:val="22"/>
                <w:szCs w:val="20"/>
              </w:rPr>
              <w:t>2. Ricevere formazione e addestramento adeguati</w:t>
            </w:r>
          </w:p>
          <w:p w14:paraId="5DF72CA6" w14:textId="28839008" w:rsidR="00EB7461" w:rsidRPr="00EE351A" w:rsidRDefault="00EB7461" w:rsidP="00592C0C">
            <w:pPr>
              <w:spacing w:line="240" w:lineRule="auto"/>
              <w:rPr>
                <w:sz w:val="22"/>
                <w:szCs w:val="20"/>
              </w:rPr>
            </w:pPr>
            <w:r w:rsidRPr="00EE351A">
              <w:rPr>
                <w:sz w:val="22"/>
                <w:szCs w:val="20"/>
              </w:rPr>
              <w:t>3. Rispetto dei diritti dei lavoratori</w:t>
            </w:r>
          </w:p>
        </w:tc>
        <w:tc>
          <w:tcPr>
            <w:tcW w:w="3691" w:type="dxa"/>
            <w:vAlign w:val="center"/>
          </w:tcPr>
          <w:p w14:paraId="6E78BCE2" w14:textId="77777777" w:rsidR="00EB7461" w:rsidRPr="00EE351A" w:rsidRDefault="00EB7461" w:rsidP="00592C0C">
            <w:pPr>
              <w:spacing w:line="240" w:lineRule="auto"/>
              <w:rPr>
                <w:sz w:val="22"/>
                <w:szCs w:val="20"/>
              </w:rPr>
            </w:pPr>
            <w:r w:rsidRPr="00EE351A">
              <w:rPr>
                <w:sz w:val="22"/>
                <w:szCs w:val="20"/>
              </w:rPr>
              <w:t>1. Clima aziendale positivo, collaborativo, inclusivo e multidisciplinare</w:t>
            </w:r>
          </w:p>
          <w:p w14:paraId="28F32F7A" w14:textId="77777777" w:rsidR="00EB7461" w:rsidRPr="00EE351A" w:rsidRDefault="00EB7461" w:rsidP="00592C0C">
            <w:pPr>
              <w:spacing w:line="240" w:lineRule="auto"/>
              <w:rPr>
                <w:sz w:val="22"/>
                <w:szCs w:val="20"/>
              </w:rPr>
            </w:pPr>
            <w:r w:rsidRPr="00EE351A">
              <w:rPr>
                <w:sz w:val="22"/>
                <w:szCs w:val="20"/>
              </w:rPr>
              <w:t>2. Politica aziendale di welfare</w:t>
            </w:r>
          </w:p>
          <w:p w14:paraId="14711B16" w14:textId="77777777" w:rsidR="00EB7461" w:rsidRPr="00EE351A" w:rsidRDefault="00EB7461" w:rsidP="00592C0C">
            <w:pPr>
              <w:spacing w:line="240" w:lineRule="auto"/>
              <w:rPr>
                <w:sz w:val="22"/>
                <w:szCs w:val="20"/>
              </w:rPr>
            </w:pPr>
            <w:r w:rsidRPr="00EE351A">
              <w:rPr>
                <w:sz w:val="22"/>
                <w:szCs w:val="20"/>
              </w:rPr>
              <w:t>3. Stabilità (sicurezza del posto di lavoro)</w:t>
            </w:r>
          </w:p>
          <w:p w14:paraId="5228E492" w14:textId="77777777" w:rsidR="00EB7461" w:rsidRPr="00EE351A" w:rsidRDefault="00EB7461" w:rsidP="00592C0C">
            <w:pPr>
              <w:spacing w:line="240" w:lineRule="auto"/>
              <w:rPr>
                <w:sz w:val="22"/>
                <w:szCs w:val="20"/>
              </w:rPr>
            </w:pPr>
            <w:r w:rsidRPr="00EE351A">
              <w:rPr>
                <w:sz w:val="22"/>
                <w:szCs w:val="20"/>
              </w:rPr>
              <w:lastRenderedPageBreak/>
              <w:t>4. Trasparenza e chiarezza dei piani di sviluppo di competenze, conoscenza e consapevolezza dei dipendenti</w:t>
            </w:r>
          </w:p>
          <w:p w14:paraId="05D59D1E" w14:textId="27834439" w:rsidR="00EB7461" w:rsidRPr="00EE351A" w:rsidRDefault="00EB7461" w:rsidP="00592C0C">
            <w:pPr>
              <w:spacing w:line="240" w:lineRule="auto"/>
              <w:rPr>
                <w:sz w:val="22"/>
                <w:szCs w:val="20"/>
              </w:rPr>
            </w:pPr>
            <w:r w:rsidRPr="00EE351A">
              <w:rPr>
                <w:sz w:val="22"/>
                <w:szCs w:val="20"/>
              </w:rPr>
              <w:t xml:space="preserve">5. Promozione dell'immagine </w:t>
            </w:r>
            <w:r w:rsidR="00EE351A">
              <w:rPr>
                <w:sz w:val="22"/>
                <w:szCs w:val="20"/>
              </w:rPr>
              <w:t xml:space="preserve">del Gruppo </w:t>
            </w:r>
            <w:r w:rsidRPr="00EE351A">
              <w:rPr>
                <w:sz w:val="22"/>
                <w:szCs w:val="20"/>
              </w:rPr>
              <w:t>sul territorio</w:t>
            </w:r>
          </w:p>
          <w:p w14:paraId="6EF946D6" w14:textId="77777777" w:rsidR="00EB7461" w:rsidRPr="00EE351A" w:rsidRDefault="00EB7461" w:rsidP="00592C0C">
            <w:pPr>
              <w:spacing w:line="240" w:lineRule="auto"/>
              <w:rPr>
                <w:sz w:val="22"/>
                <w:szCs w:val="20"/>
              </w:rPr>
            </w:pPr>
            <w:r w:rsidRPr="00EE351A">
              <w:rPr>
                <w:sz w:val="22"/>
                <w:szCs w:val="20"/>
              </w:rPr>
              <w:t>6. Coinvolgimento e chiarezza degli obiettivi aziendali</w:t>
            </w:r>
          </w:p>
          <w:p w14:paraId="6C1F6FC2" w14:textId="77777777" w:rsidR="00EB7461" w:rsidRPr="00EE351A" w:rsidRDefault="00EB7461" w:rsidP="00592C0C">
            <w:pPr>
              <w:spacing w:line="240" w:lineRule="auto"/>
              <w:rPr>
                <w:sz w:val="22"/>
                <w:szCs w:val="20"/>
              </w:rPr>
            </w:pPr>
            <w:r w:rsidRPr="00EE351A">
              <w:rPr>
                <w:sz w:val="22"/>
                <w:szCs w:val="20"/>
              </w:rPr>
              <w:t>7. Miglioramento continuo delle modalità di lavoro e dei processi</w:t>
            </w:r>
          </w:p>
          <w:p w14:paraId="0D0F5499" w14:textId="77777777" w:rsidR="00EB7461" w:rsidRPr="00EE351A" w:rsidRDefault="00EB7461" w:rsidP="00592C0C">
            <w:pPr>
              <w:spacing w:line="240" w:lineRule="auto"/>
              <w:rPr>
                <w:sz w:val="22"/>
                <w:szCs w:val="20"/>
              </w:rPr>
            </w:pPr>
            <w:r w:rsidRPr="00EE351A">
              <w:rPr>
                <w:sz w:val="22"/>
                <w:szCs w:val="20"/>
              </w:rPr>
              <w:t>8. Maggiore trasparenza della procedura da seguire per segnalare illeciti agli organi aziendali preposti</w:t>
            </w:r>
          </w:p>
        </w:tc>
        <w:tc>
          <w:tcPr>
            <w:tcW w:w="3396" w:type="dxa"/>
            <w:vAlign w:val="center"/>
          </w:tcPr>
          <w:p w14:paraId="202D3372" w14:textId="77777777" w:rsidR="00EB7461" w:rsidRPr="00EE351A" w:rsidRDefault="00EB7461" w:rsidP="00592C0C">
            <w:pPr>
              <w:spacing w:line="240" w:lineRule="auto"/>
              <w:rPr>
                <w:sz w:val="22"/>
                <w:szCs w:val="20"/>
              </w:rPr>
            </w:pPr>
            <w:r w:rsidRPr="00EE351A">
              <w:rPr>
                <w:sz w:val="22"/>
                <w:szCs w:val="20"/>
              </w:rPr>
              <w:lastRenderedPageBreak/>
              <w:t>Rafforzamento dei sistemi di gestione delle segnalazioni di fenomeni corruttivi</w:t>
            </w:r>
          </w:p>
        </w:tc>
      </w:tr>
      <w:tr w:rsidR="00EB7461" w:rsidRPr="00DC5808" w14:paraId="53909C11" w14:textId="77777777" w:rsidTr="00592C0C">
        <w:trPr>
          <w:jc w:val="center"/>
        </w:trPr>
        <w:tc>
          <w:tcPr>
            <w:tcW w:w="3114" w:type="dxa"/>
            <w:vAlign w:val="center"/>
          </w:tcPr>
          <w:p w14:paraId="13A323A9" w14:textId="77777777" w:rsidR="00EB7461" w:rsidRPr="00EE351A" w:rsidRDefault="00EB7461" w:rsidP="00592C0C">
            <w:pPr>
              <w:spacing w:line="240" w:lineRule="auto"/>
              <w:rPr>
                <w:sz w:val="22"/>
                <w:szCs w:val="20"/>
              </w:rPr>
            </w:pPr>
            <w:r w:rsidRPr="00EE351A">
              <w:rPr>
                <w:sz w:val="22"/>
                <w:szCs w:val="20"/>
              </w:rPr>
              <w:t>Comuni soci di RetiAmbiente</w:t>
            </w:r>
          </w:p>
        </w:tc>
        <w:tc>
          <w:tcPr>
            <w:tcW w:w="2268" w:type="dxa"/>
            <w:vAlign w:val="center"/>
          </w:tcPr>
          <w:p w14:paraId="749BD3D3" w14:textId="77777777" w:rsidR="00EB7461" w:rsidRPr="00EE351A" w:rsidRDefault="00EB7461" w:rsidP="00592C0C">
            <w:pPr>
              <w:spacing w:line="240" w:lineRule="auto"/>
              <w:rPr>
                <w:sz w:val="22"/>
                <w:szCs w:val="20"/>
              </w:rPr>
            </w:pPr>
            <w:r w:rsidRPr="00EE351A">
              <w:rPr>
                <w:sz w:val="22"/>
                <w:szCs w:val="20"/>
              </w:rPr>
              <w:t>Interna</w:t>
            </w:r>
          </w:p>
        </w:tc>
        <w:tc>
          <w:tcPr>
            <w:tcW w:w="3544" w:type="dxa"/>
            <w:vAlign w:val="center"/>
          </w:tcPr>
          <w:p w14:paraId="191A2B4C" w14:textId="77777777" w:rsidR="00EB7461" w:rsidRPr="00EE351A" w:rsidRDefault="00EB7461" w:rsidP="00592C0C">
            <w:pPr>
              <w:spacing w:line="240" w:lineRule="auto"/>
              <w:rPr>
                <w:sz w:val="22"/>
                <w:szCs w:val="20"/>
              </w:rPr>
            </w:pPr>
            <w:r w:rsidRPr="00EE351A">
              <w:rPr>
                <w:sz w:val="22"/>
                <w:szCs w:val="20"/>
              </w:rPr>
              <w:t>1. Continuità del business</w:t>
            </w:r>
          </w:p>
          <w:p w14:paraId="1BFBB231" w14:textId="77777777" w:rsidR="00EB7461" w:rsidRPr="00EE351A" w:rsidRDefault="00EB7461" w:rsidP="00592C0C">
            <w:pPr>
              <w:spacing w:line="240" w:lineRule="auto"/>
              <w:rPr>
                <w:sz w:val="22"/>
                <w:szCs w:val="20"/>
              </w:rPr>
            </w:pPr>
            <w:r w:rsidRPr="00EE351A">
              <w:rPr>
                <w:sz w:val="22"/>
                <w:szCs w:val="20"/>
              </w:rPr>
              <w:t>2. Risultati economici (contenimento dei costi, attuazione degli investimenti pianificati)</w:t>
            </w:r>
          </w:p>
          <w:p w14:paraId="21EFC264" w14:textId="77777777" w:rsidR="00EB7461" w:rsidRPr="00EE351A" w:rsidRDefault="00EB7461" w:rsidP="00592C0C">
            <w:pPr>
              <w:spacing w:line="240" w:lineRule="auto"/>
              <w:rPr>
                <w:sz w:val="22"/>
                <w:szCs w:val="20"/>
              </w:rPr>
            </w:pPr>
            <w:r w:rsidRPr="00EE351A">
              <w:rPr>
                <w:sz w:val="22"/>
                <w:szCs w:val="20"/>
              </w:rPr>
              <w:t>3. Rispetto della normativa applicabile</w:t>
            </w:r>
          </w:p>
          <w:p w14:paraId="06013FD6" w14:textId="77777777" w:rsidR="00EB7461" w:rsidRPr="00EE351A" w:rsidRDefault="00EB7461" w:rsidP="00592C0C">
            <w:pPr>
              <w:spacing w:line="240" w:lineRule="auto"/>
              <w:rPr>
                <w:sz w:val="22"/>
                <w:szCs w:val="20"/>
              </w:rPr>
            </w:pPr>
            <w:r w:rsidRPr="00EE351A">
              <w:rPr>
                <w:sz w:val="22"/>
                <w:szCs w:val="20"/>
              </w:rPr>
              <w:t xml:space="preserve">4. Soddisfazione degli utenti </w:t>
            </w:r>
          </w:p>
          <w:p w14:paraId="78FAAF7C" w14:textId="77777777" w:rsidR="00EB7461" w:rsidRPr="00EE351A" w:rsidRDefault="00EB7461" w:rsidP="00592C0C">
            <w:pPr>
              <w:spacing w:line="240" w:lineRule="auto"/>
              <w:rPr>
                <w:sz w:val="22"/>
                <w:szCs w:val="20"/>
              </w:rPr>
            </w:pPr>
            <w:r w:rsidRPr="00EE351A">
              <w:rPr>
                <w:sz w:val="22"/>
                <w:szCs w:val="20"/>
              </w:rPr>
              <w:t>5. Gestione adeguata del rischio</w:t>
            </w:r>
          </w:p>
        </w:tc>
        <w:tc>
          <w:tcPr>
            <w:tcW w:w="3691" w:type="dxa"/>
            <w:vAlign w:val="center"/>
          </w:tcPr>
          <w:p w14:paraId="442B1179" w14:textId="77777777" w:rsidR="00EB7461" w:rsidRPr="00EE351A" w:rsidRDefault="00EB7461" w:rsidP="00592C0C">
            <w:pPr>
              <w:spacing w:line="240" w:lineRule="auto"/>
              <w:rPr>
                <w:sz w:val="22"/>
                <w:szCs w:val="20"/>
              </w:rPr>
            </w:pPr>
            <w:r w:rsidRPr="00EE351A">
              <w:rPr>
                <w:sz w:val="22"/>
                <w:szCs w:val="20"/>
              </w:rPr>
              <w:t>1. Miglioramento dell'efficienza della gestione</w:t>
            </w:r>
          </w:p>
          <w:p w14:paraId="434A1850" w14:textId="77777777" w:rsidR="00EB7461" w:rsidRPr="00EE351A" w:rsidRDefault="00EB7461" w:rsidP="00592C0C">
            <w:pPr>
              <w:spacing w:line="240" w:lineRule="auto"/>
              <w:rPr>
                <w:sz w:val="22"/>
                <w:szCs w:val="20"/>
              </w:rPr>
            </w:pPr>
            <w:r w:rsidRPr="00EE351A">
              <w:rPr>
                <w:sz w:val="22"/>
                <w:szCs w:val="20"/>
              </w:rPr>
              <w:t>2. Immagine aziendale positiva sul territorio</w:t>
            </w:r>
          </w:p>
          <w:p w14:paraId="0C93883D" w14:textId="77777777" w:rsidR="00EB7461" w:rsidRPr="00EE351A" w:rsidRDefault="00EB7461" w:rsidP="00592C0C">
            <w:pPr>
              <w:spacing w:line="240" w:lineRule="auto"/>
              <w:rPr>
                <w:sz w:val="22"/>
                <w:szCs w:val="20"/>
              </w:rPr>
            </w:pPr>
          </w:p>
        </w:tc>
        <w:tc>
          <w:tcPr>
            <w:tcW w:w="3396" w:type="dxa"/>
            <w:vAlign w:val="center"/>
          </w:tcPr>
          <w:p w14:paraId="12DE311A" w14:textId="4C7296EB" w:rsidR="00EB7461" w:rsidRPr="00EE351A" w:rsidRDefault="00EB7461" w:rsidP="00592C0C">
            <w:pPr>
              <w:spacing w:line="240" w:lineRule="auto"/>
              <w:rPr>
                <w:sz w:val="22"/>
                <w:szCs w:val="20"/>
              </w:rPr>
            </w:pPr>
            <w:r w:rsidRPr="00EE351A">
              <w:rPr>
                <w:sz w:val="22"/>
                <w:szCs w:val="20"/>
              </w:rPr>
              <w:t xml:space="preserve">- </w:t>
            </w:r>
            <w:r w:rsidR="00711D3D">
              <w:rPr>
                <w:sz w:val="22"/>
                <w:szCs w:val="20"/>
              </w:rPr>
              <w:t>Mantenimento</w:t>
            </w:r>
            <w:r w:rsidRPr="00EE351A">
              <w:rPr>
                <w:sz w:val="22"/>
                <w:szCs w:val="20"/>
              </w:rPr>
              <w:t xml:space="preserve"> del rating di legalità</w:t>
            </w:r>
            <w:r w:rsidR="00711D3D">
              <w:rPr>
                <w:sz w:val="22"/>
                <w:szCs w:val="20"/>
              </w:rPr>
              <w:t xml:space="preserve"> da parte di RetiAmbiente S.p.A.</w:t>
            </w:r>
          </w:p>
          <w:p w14:paraId="710E7AF9" w14:textId="77777777" w:rsidR="00EB7461" w:rsidRPr="00EE351A" w:rsidRDefault="00EB7461" w:rsidP="00592C0C">
            <w:pPr>
              <w:spacing w:line="240" w:lineRule="auto"/>
              <w:rPr>
                <w:sz w:val="22"/>
                <w:szCs w:val="20"/>
              </w:rPr>
            </w:pPr>
            <w:r w:rsidRPr="00EE351A">
              <w:rPr>
                <w:sz w:val="22"/>
                <w:szCs w:val="20"/>
              </w:rPr>
              <w:t>- Iscrizione alla white list</w:t>
            </w:r>
          </w:p>
        </w:tc>
      </w:tr>
      <w:tr w:rsidR="00EB7461" w:rsidRPr="00D84D01" w14:paraId="59E5986C" w14:textId="77777777" w:rsidTr="00592C0C">
        <w:trPr>
          <w:jc w:val="center"/>
        </w:trPr>
        <w:tc>
          <w:tcPr>
            <w:tcW w:w="3114" w:type="dxa"/>
            <w:vAlign w:val="center"/>
          </w:tcPr>
          <w:p w14:paraId="6DC00A85" w14:textId="77777777" w:rsidR="00EB7461" w:rsidRPr="00EE351A" w:rsidRDefault="00EB7461" w:rsidP="00592C0C">
            <w:pPr>
              <w:spacing w:line="240" w:lineRule="auto"/>
              <w:rPr>
                <w:sz w:val="22"/>
                <w:szCs w:val="20"/>
              </w:rPr>
            </w:pPr>
            <w:r w:rsidRPr="00EE351A">
              <w:rPr>
                <w:sz w:val="22"/>
                <w:szCs w:val="20"/>
              </w:rPr>
              <w:t>ATO Toscana Costa</w:t>
            </w:r>
          </w:p>
        </w:tc>
        <w:tc>
          <w:tcPr>
            <w:tcW w:w="2268" w:type="dxa"/>
            <w:vAlign w:val="center"/>
          </w:tcPr>
          <w:p w14:paraId="7B60820E"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406A4919" w14:textId="77777777" w:rsidR="00EB7461" w:rsidRPr="00EE351A" w:rsidRDefault="00EB7461" w:rsidP="00592C0C">
            <w:pPr>
              <w:spacing w:line="240" w:lineRule="auto"/>
              <w:rPr>
                <w:sz w:val="22"/>
                <w:szCs w:val="20"/>
              </w:rPr>
            </w:pPr>
            <w:r w:rsidRPr="00EE351A">
              <w:rPr>
                <w:sz w:val="22"/>
                <w:szCs w:val="20"/>
              </w:rPr>
              <w:t>1. Rispetto della normativa applicabile</w:t>
            </w:r>
          </w:p>
          <w:p w14:paraId="48832138" w14:textId="77777777" w:rsidR="00EB7461" w:rsidRPr="00EE351A" w:rsidRDefault="00EB7461" w:rsidP="00592C0C">
            <w:pPr>
              <w:spacing w:line="240" w:lineRule="auto"/>
              <w:rPr>
                <w:sz w:val="22"/>
                <w:szCs w:val="20"/>
              </w:rPr>
            </w:pPr>
            <w:r w:rsidRPr="00EE351A">
              <w:rPr>
                <w:sz w:val="22"/>
                <w:szCs w:val="20"/>
              </w:rPr>
              <w:t>2. Trasparenza e veridicità delle informazioni</w:t>
            </w:r>
          </w:p>
          <w:p w14:paraId="699E32B7" w14:textId="77777777" w:rsidR="00EB7461" w:rsidRPr="00EE351A" w:rsidRDefault="00EB7461" w:rsidP="00592C0C">
            <w:pPr>
              <w:spacing w:line="240" w:lineRule="auto"/>
              <w:rPr>
                <w:sz w:val="22"/>
                <w:szCs w:val="20"/>
              </w:rPr>
            </w:pPr>
            <w:r w:rsidRPr="00EE351A">
              <w:rPr>
                <w:sz w:val="22"/>
                <w:szCs w:val="20"/>
              </w:rPr>
              <w:t>3. Affidabilità ed immagine del gestore</w:t>
            </w:r>
          </w:p>
          <w:p w14:paraId="750C7A5B" w14:textId="77777777" w:rsidR="00EB7461" w:rsidRPr="00EE351A" w:rsidRDefault="00EB7461" w:rsidP="00592C0C">
            <w:pPr>
              <w:spacing w:line="240" w:lineRule="auto"/>
              <w:rPr>
                <w:sz w:val="22"/>
                <w:szCs w:val="20"/>
              </w:rPr>
            </w:pPr>
            <w:r w:rsidRPr="00EE351A">
              <w:rPr>
                <w:sz w:val="22"/>
                <w:szCs w:val="20"/>
              </w:rPr>
              <w:t>4. Qualità e continuità del servizio</w:t>
            </w:r>
          </w:p>
          <w:p w14:paraId="7ABEFA21" w14:textId="77777777" w:rsidR="00EB7461" w:rsidRPr="00EE351A" w:rsidRDefault="00EB7461" w:rsidP="00592C0C">
            <w:pPr>
              <w:spacing w:line="240" w:lineRule="auto"/>
              <w:rPr>
                <w:sz w:val="22"/>
                <w:szCs w:val="20"/>
              </w:rPr>
            </w:pPr>
            <w:r w:rsidRPr="00EE351A">
              <w:rPr>
                <w:sz w:val="22"/>
                <w:szCs w:val="20"/>
              </w:rPr>
              <w:t>6. Rispetto degli adempimenti derivanti dal contratto di servizio</w:t>
            </w:r>
          </w:p>
        </w:tc>
        <w:tc>
          <w:tcPr>
            <w:tcW w:w="3691" w:type="dxa"/>
            <w:vAlign w:val="center"/>
          </w:tcPr>
          <w:p w14:paraId="0B8EB49C" w14:textId="77777777" w:rsidR="00EB7461" w:rsidRPr="00EE351A" w:rsidRDefault="00EB7461" w:rsidP="00592C0C">
            <w:pPr>
              <w:spacing w:line="240" w:lineRule="auto"/>
              <w:rPr>
                <w:sz w:val="22"/>
                <w:szCs w:val="20"/>
              </w:rPr>
            </w:pPr>
            <w:r w:rsidRPr="00EE351A">
              <w:rPr>
                <w:sz w:val="22"/>
                <w:szCs w:val="20"/>
              </w:rPr>
              <w:t>Soddisfazione degli utenti e dei cittadini</w:t>
            </w:r>
          </w:p>
        </w:tc>
        <w:tc>
          <w:tcPr>
            <w:tcW w:w="3396" w:type="dxa"/>
            <w:vAlign w:val="center"/>
          </w:tcPr>
          <w:p w14:paraId="7CB37872" w14:textId="022629DA" w:rsidR="00EB7461" w:rsidRPr="00EE351A" w:rsidRDefault="00EB7461" w:rsidP="00592C0C">
            <w:pPr>
              <w:spacing w:line="240" w:lineRule="auto"/>
              <w:rPr>
                <w:sz w:val="22"/>
                <w:szCs w:val="20"/>
              </w:rPr>
            </w:pPr>
            <w:r w:rsidRPr="00EE351A">
              <w:rPr>
                <w:sz w:val="22"/>
                <w:szCs w:val="20"/>
              </w:rPr>
              <w:t xml:space="preserve">- </w:t>
            </w:r>
            <w:r w:rsidR="00711D3D">
              <w:rPr>
                <w:sz w:val="22"/>
                <w:szCs w:val="20"/>
              </w:rPr>
              <w:t>Mantenimento</w:t>
            </w:r>
            <w:r w:rsidR="00711D3D" w:rsidRPr="00EE351A">
              <w:rPr>
                <w:sz w:val="22"/>
                <w:szCs w:val="20"/>
              </w:rPr>
              <w:t xml:space="preserve"> del rating di legalità</w:t>
            </w:r>
            <w:r w:rsidR="00711D3D">
              <w:rPr>
                <w:sz w:val="22"/>
                <w:szCs w:val="20"/>
              </w:rPr>
              <w:t xml:space="preserve"> da parte di RetiAmbiente S.p.A.</w:t>
            </w:r>
          </w:p>
          <w:p w14:paraId="0C209AF6" w14:textId="77777777" w:rsidR="00EB7461" w:rsidRPr="00EE351A" w:rsidRDefault="00EB7461" w:rsidP="00592C0C">
            <w:pPr>
              <w:spacing w:line="240" w:lineRule="auto"/>
              <w:rPr>
                <w:sz w:val="22"/>
                <w:szCs w:val="20"/>
              </w:rPr>
            </w:pPr>
            <w:r w:rsidRPr="00EE351A">
              <w:rPr>
                <w:sz w:val="22"/>
                <w:szCs w:val="20"/>
              </w:rPr>
              <w:t>- Iscrizione alla white list</w:t>
            </w:r>
          </w:p>
        </w:tc>
      </w:tr>
      <w:tr w:rsidR="00EB7461" w:rsidRPr="00D84D01" w14:paraId="2B62D40B" w14:textId="77777777" w:rsidTr="00592C0C">
        <w:trPr>
          <w:jc w:val="center"/>
        </w:trPr>
        <w:tc>
          <w:tcPr>
            <w:tcW w:w="3114" w:type="dxa"/>
            <w:vAlign w:val="center"/>
          </w:tcPr>
          <w:p w14:paraId="581544E5" w14:textId="77777777" w:rsidR="00EB7461" w:rsidRPr="00EE351A" w:rsidRDefault="00EB7461" w:rsidP="00592C0C">
            <w:pPr>
              <w:spacing w:line="240" w:lineRule="auto"/>
              <w:rPr>
                <w:sz w:val="22"/>
                <w:szCs w:val="20"/>
              </w:rPr>
            </w:pPr>
            <w:r w:rsidRPr="00EE351A">
              <w:rPr>
                <w:sz w:val="22"/>
                <w:szCs w:val="20"/>
              </w:rPr>
              <w:lastRenderedPageBreak/>
              <w:t>ARERA</w:t>
            </w:r>
          </w:p>
        </w:tc>
        <w:tc>
          <w:tcPr>
            <w:tcW w:w="2268" w:type="dxa"/>
            <w:vAlign w:val="center"/>
          </w:tcPr>
          <w:p w14:paraId="4300E0FB"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13C3C438" w14:textId="77777777" w:rsidR="00EB7461" w:rsidRPr="00EE351A" w:rsidRDefault="00EB7461" w:rsidP="00592C0C">
            <w:pPr>
              <w:spacing w:line="240" w:lineRule="auto"/>
              <w:rPr>
                <w:sz w:val="22"/>
                <w:szCs w:val="20"/>
              </w:rPr>
            </w:pPr>
            <w:r w:rsidRPr="00EE351A">
              <w:rPr>
                <w:sz w:val="22"/>
                <w:szCs w:val="20"/>
              </w:rPr>
              <w:t>1. Rispetto della normativa applicabile</w:t>
            </w:r>
          </w:p>
          <w:p w14:paraId="584B5350" w14:textId="77777777" w:rsidR="00EB7461" w:rsidRPr="00EE351A" w:rsidRDefault="00EB7461" w:rsidP="00592C0C">
            <w:pPr>
              <w:spacing w:line="240" w:lineRule="auto"/>
              <w:rPr>
                <w:sz w:val="22"/>
                <w:szCs w:val="20"/>
              </w:rPr>
            </w:pPr>
            <w:r w:rsidRPr="00EE351A">
              <w:rPr>
                <w:sz w:val="22"/>
                <w:szCs w:val="20"/>
              </w:rPr>
              <w:t>2. Trasparenza e veridicità delle informazioni</w:t>
            </w:r>
          </w:p>
          <w:p w14:paraId="5CC7FC07" w14:textId="77777777" w:rsidR="00EB7461" w:rsidRPr="00EE351A" w:rsidRDefault="00EB7461" w:rsidP="00592C0C">
            <w:pPr>
              <w:spacing w:line="240" w:lineRule="auto"/>
              <w:rPr>
                <w:sz w:val="22"/>
                <w:szCs w:val="20"/>
              </w:rPr>
            </w:pPr>
            <w:r w:rsidRPr="00EE351A">
              <w:rPr>
                <w:sz w:val="22"/>
                <w:szCs w:val="20"/>
              </w:rPr>
              <w:t>3. Qualità e continuità del servizio</w:t>
            </w:r>
          </w:p>
        </w:tc>
        <w:tc>
          <w:tcPr>
            <w:tcW w:w="3691" w:type="dxa"/>
            <w:vAlign w:val="center"/>
          </w:tcPr>
          <w:p w14:paraId="7F1C7BD2" w14:textId="77777777" w:rsidR="00EB7461" w:rsidRPr="00EE351A" w:rsidRDefault="00EB7461" w:rsidP="00592C0C">
            <w:pPr>
              <w:spacing w:line="240" w:lineRule="auto"/>
              <w:rPr>
                <w:sz w:val="22"/>
                <w:szCs w:val="20"/>
              </w:rPr>
            </w:pPr>
            <w:r w:rsidRPr="00EE351A">
              <w:rPr>
                <w:sz w:val="22"/>
                <w:szCs w:val="20"/>
              </w:rPr>
              <w:t>Soddisfazione degli utenti e dei cittadini</w:t>
            </w:r>
          </w:p>
        </w:tc>
        <w:tc>
          <w:tcPr>
            <w:tcW w:w="3396" w:type="dxa"/>
            <w:vAlign w:val="center"/>
          </w:tcPr>
          <w:p w14:paraId="02C71AFB" w14:textId="77777777" w:rsidR="00EB7461" w:rsidRPr="00EE351A" w:rsidRDefault="00EB7461" w:rsidP="00592C0C">
            <w:pPr>
              <w:spacing w:line="240" w:lineRule="auto"/>
              <w:rPr>
                <w:sz w:val="22"/>
                <w:szCs w:val="20"/>
              </w:rPr>
            </w:pPr>
          </w:p>
        </w:tc>
      </w:tr>
      <w:tr w:rsidR="00EB7461" w:rsidRPr="00D84D01" w14:paraId="21733EB5" w14:textId="77777777" w:rsidTr="00592C0C">
        <w:trPr>
          <w:jc w:val="center"/>
        </w:trPr>
        <w:tc>
          <w:tcPr>
            <w:tcW w:w="3114" w:type="dxa"/>
            <w:vAlign w:val="center"/>
          </w:tcPr>
          <w:p w14:paraId="096D8112" w14:textId="77777777" w:rsidR="00EB7461" w:rsidRPr="00EE351A" w:rsidRDefault="00EB7461" w:rsidP="00592C0C">
            <w:pPr>
              <w:spacing w:line="240" w:lineRule="auto"/>
              <w:rPr>
                <w:sz w:val="22"/>
                <w:szCs w:val="20"/>
              </w:rPr>
            </w:pPr>
            <w:r w:rsidRPr="00EE351A">
              <w:rPr>
                <w:sz w:val="22"/>
                <w:szCs w:val="20"/>
              </w:rPr>
              <w:t>ANAC</w:t>
            </w:r>
          </w:p>
        </w:tc>
        <w:tc>
          <w:tcPr>
            <w:tcW w:w="2268" w:type="dxa"/>
            <w:vAlign w:val="center"/>
          </w:tcPr>
          <w:p w14:paraId="48FD3634"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3515383E" w14:textId="77777777" w:rsidR="00EB7461" w:rsidRPr="00EE351A" w:rsidRDefault="00EB7461" w:rsidP="00592C0C">
            <w:pPr>
              <w:spacing w:line="240" w:lineRule="auto"/>
              <w:rPr>
                <w:sz w:val="22"/>
                <w:szCs w:val="20"/>
              </w:rPr>
            </w:pPr>
            <w:r w:rsidRPr="00EE351A">
              <w:rPr>
                <w:sz w:val="22"/>
                <w:szCs w:val="20"/>
              </w:rPr>
              <w:t>1. Rispetto della normativa applicabile</w:t>
            </w:r>
          </w:p>
          <w:p w14:paraId="0A1B63B7" w14:textId="77777777" w:rsidR="00EB7461" w:rsidRPr="00EE351A" w:rsidRDefault="00EB7461" w:rsidP="00592C0C">
            <w:pPr>
              <w:spacing w:line="240" w:lineRule="auto"/>
              <w:rPr>
                <w:sz w:val="22"/>
                <w:szCs w:val="20"/>
              </w:rPr>
            </w:pPr>
            <w:r w:rsidRPr="00EE351A">
              <w:rPr>
                <w:sz w:val="22"/>
                <w:szCs w:val="20"/>
              </w:rPr>
              <w:t>2. Trasparenza e veridicità delle informazioni</w:t>
            </w:r>
          </w:p>
        </w:tc>
        <w:tc>
          <w:tcPr>
            <w:tcW w:w="3691" w:type="dxa"/>
            <w:vAlign w:val="center"/>
          </w:tcPr>
          <w:p w14:paraId="57CD1801" w14:textId="77777777" w:rsidR="00EB7461" w:rsidRPr="00EE351A" w:rsidRDefault="00EB7461" w:rsidP="00592C0C">
            <w:pPr>
              <w:spacing w:line="240" w:lineRule="auto"/>
              <w:rPr>
                <w:sz w:val="22"/>
                <w:szCs w:val="20"/>
              </w:rPr>
            </w:pPr>
          </w:p>
        </w:tc>
        <w:tc>
          <w:tcPr>
            <w:tcW w:w="3396" w:type="dxa"/>
            <w:vAlign w:val="center"/>
          </w:tcPr>
          <w:p w14:paraId="721EC4DD" w14:textId="77777777" w:rsidR="00EB7461" w:rsidRPr="00EE351A" w:rsidRDefault="00EB7461" w:rsidP="00592C0C">
            <w:pPr>
              <w:spacing w:line="240" w:lineRule="auto"/>
              <w:rPr>
                <w:sz w:val="22"/>
                <w:szCs w:val="20"/>
              </w:rPr>
            </w:pPr>
            <w:r w:rsidRPr="00EE351A">
              <w:rPr>
                <w:sz w:val="22"/>
                <w:szCs w:val="20"/>
              </w:rPr>
              <w:t>Iscrizione alla white list</w:t>
            </w:r>
          </w:p>
        </w:tc>
      </w:tr>
      <w:tr w:rsidR="00EB7461" w:rsidRPr="00D84D01" w14:paraId="5BA0A447" w14:textId="77777777" w:rsidTr="00592C0C">
        <w:trPr>
          <w:jc w:val="center"/>
        </w:trPr>
        <w:tc>
          <w:tcPr>
            <w:tcW w:w="3114" w:type="dxa"/>
            <w:vAlign w:val="center"/>
          </w:tcPr>
          <w:p w14:paraId="5D39794C" w14:textId="77777777" w:rsidR="00EB7461" w:rsidRPr="00EE351A" w:rsidRDefault="00EB7461" w:rsidP="00592C0C">
            <w:pPr>
              <w:spacing w:line="240" w:lineRule="auto"/>
              <w:rPr>
                <w:sz w:val="22"/>
                <w:szCs w:val="20"/>
              </w:rPr>
            </w:pPr>
            <w:r w:rsidRPr="00EE351A">
              <w:rPr>
                <w:sz w:val="22"/>
                <w:szCs w:val="20"/>
              </w:rPr>
              <w:t>Garante privacy</w:t>
            </w:r>
          </w:p>
        </w:tc>
        <w:tc>
          <w:tcPr>
            <w:tcW w:w="2268" w:type="dxa"/>
            <w:vAlign w:val="center"/>
          </w:tcPr>
          <w:p w14:paraId="00EF46C2"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767A3466" w14:textId="77777777" w:rsidR="00EB7461" w:rsidRPr="00EE351A" w:rsidRDefault="00EB7461" w:rsidP="00592C0C">
            <w:pPr>
              <w:spacing w:line="240" w:lineRule="auto"/>
              <w:rPr>
                <w:sz w:val="22"/>
                <w:szCs w:val="20"/>
              </w:rPr>
            </w:pPr>
            <w:r w:rsidRPr="00EE351A">
              <w:rPr>
                <w:sz w:val="22"/>
                <w:szCs w:val="20"/>
              </w:rPr>
              <w:t>1. Rispetto della normativa applicabile</w:t>
            </w:r>
          </w:p>
          <w:p w14:paraId="4939288A" w14:textId="77777777" w:rsidR="00EB7461" w:rsidRPr="00EE351A" w:rsidRDefault="00EB7461" w:rsidP="00592C0C">
            <w:pPr>
              <w:spacing w:line="240" w:lineRule="auto"/>
              <w:rPr>
                <w:sz w:val="22"/>
                <w:szCs w:val="20"/>
              </w:rPr>
            </w:pPr>
            <w:r w:rsidRPr="00EE351A">
              <w:rPr>
                <w:sz w:val="22"/>
                <w:szCs w:val="20"/>
              </w:rPr>
              <w:t>2. Trasparenza e veridicità delle informazioni</w:t>
            </w:r>
          </w:p>
        </w:tc>
        <w:tc>
          <w:tcPr>
            <w:tcW w:w="3691" w:type="dxa"/>
            <w:vAlign w:val="center"/>
          </w:tcPr>
          <w:p w14:paraId="30D50256" w14:textId="77777777" w:rsidR="00EB7461" w:rsidRPr="00EE351A" w:rsidRDefault="00EB7461" w:rsidP="00592C0C">
            <w:pPr>
              <w:spacing w:line="240" w:lineRule="auto"/>
              <w:rPr>
                <w:sz w:val="22"/>
                <w:szCs w:val="20"/>
              </w:rPr>
            </w:pPr>
          </w:p>
        </w:tc>
        <w:tc>
          <w:tcPr>
            <w:tcW w:w="3396" w:type="dxa"/>
            <w:vAlign w:val="center"/>
          </w:tcPr>
          <w:p w14:paraId="76C76CAA" w14:textId="77777777" w:rsidR="00EB7461" w:rsidRPr="00EE351A" w:rsidRDefault="00EB7461" w:rsidP="00592C0C">
            <w:pPr>
              <w:spacing w:line="240" w:lineRule="auto"/>
              <w:rPr>
                <w:sz w:val="22"/>
                <w:szCs w:val="20"/>
              </w:rPr>
            </w:pPr>
          </w:p>
        </w:tc>
      </w:tr>
      <w:tr w:rsidR="00EB7461" w:rsidRPr="00D84D01" w14:paraId="046D316E" w14:textId="77777777" w:rsidTr="00592C0C">
        <w:trPr>
          <w:jc w:val="center"/>
        </w:trPr>
        <w:tc>
          <w:tcPr>
            <w:tcW w:w="3114" w:type="dxa"/>
            <w:vAlign w:val="center"/>
          </w:tcPr>
          <w:p w14:paraId="3CCB0EA3" w14:textId="7B3DE0CE" w:rsidR="00EB7461" w:rsidRPr="00EE351A" w:rsidRDefault="00EB7461" w:rsidP="00592C0C">
            <w:pPr>
              <w:spacing w:line="240" w:lineRule="auto"/>
              <w:rPr>
                <w:sz w:val="22"/>
                <w:szCs w:val="20"/>
              </w:rPr>
            </w:pPr>
            <w:r w:rsidRPr="00EE351A">
              <w:rPr>
                <w:sz w:val="22"/>
                <w:szCs w:val="20"/>
              </w:rPr>
              <w:t xml:space="preserve">Utenti </w:t>
            </w:r>
            <w:r w:rsidR="00EE351A" w:rsidRPr="00EE351A">
              <w:rPr>
                <w:sz w:val="22"/>
                <w:szCs w:val="20"/>
              </w:rPr>
              <w:t>tariffa</w:t>
            </w:r>
          </w:p>
        </w:tc>
        <w:tc>
          <w:tcPr>
            <w:tcW w:w="2268" w:type="dxa"/>
            <w:vAlign w:val="center"/>
          </w:tcPr>
          <w:p w14:paraId="54FD4AB2"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14277372" w14:textId="77777777" w:rsidR="00EB7461" w:rsidRPr="00EE351A" w:rsidRDefault="00EB7461" w:rsidP="00592C0C">
            <w:pPr>
              <w:spacing w:line="240" w:lineRule="auto"/>
              <w:rPr>
                <w:sz w:val="22"/>
                <w:szCs w:val="20"/>
              </w:rPr>
            </w:pPr>
            <w:r w:rsidRPr="00EE351A">
              <w:rPr>
                <w:sz w:val="22"/>
                <w:szCs w:val="20"/>
              </w:rPr>
              <w:t>1. Qualità e continuità del servizio</w:t>
            </w:r>
          </w:p>
          <w:p w14:paraId="48849BA7" w14:textId="77777777" w:rsidR="00EB7461" w:rsidRPr="00EE351A" w:rsidRDefault="00EB7461" w:rsidP="00592C0C">
            <w:pPr>
              <w:spacing w:line="240" w:lineRule="auto"/>
              <w:rPr>
                <w:sz w:val="22"/>
                <w:szCs w:val="20"/>
              </w:rPr>
            </w:pPr>
            <w:r w:rsidRPr="00EE351A">
              <w:rPr>
                <w:sz w:val="22"/>
                <w:szCs w:val="20"/>
              </w:rPr>
              <w:t>2. Correttezza della fatturazione</w:t>
            </w:r>
          </w:p>
          <w:p w14:paraId="22543B33" w14:textId="77777777" w:rsidR="00EB7461" w:rsidRPr="00EE351A" w:rsidRDefault="00EB7461" w:rsidP="00592C0C">
            <w:pPr>
              <w:spacing w:line="240" w:lineRule="auto"/>
              <w:rPr>
                <w:sz w:val="22"/>
                <w:szCs w:val="20"/>
              </w:rPr>
            </w:pPr>
            <w:r w:rsidRPr="00EE351A">
              <w:rPr>
                <w:sz w:val="22"/>
                <w:szCs w:val="20"/>
              </w:rPr>
              <w:t xml:space="preserve">3. Rispetto della carta dei servizi </w:t>
            </w:r>
          </w:p>
          <w:p w14:paraId="146FCBBA" w14:textId="77777777" w:rsidR="00EB7461" w:rsidRPr="00EE351A" w:rsidRDefault="00EB7461" w:rsidP="00592C0C">
            <w:pPr>
              <w:spacing w:line="240" w:lineRule="auto"/>
              <w:rPr>
                <w:sz w:val="22"/>
                <w:szCs w:val="20"/>
              </w:rPr>
            </w:pPr>
            <w:r w:rsidRPr="00EE351A">
              <w:rPr>
                <w:sz w:val="22"/>
                <w:szCs w:val="20"/>
              </w:rPr>
              <w:t>4. Trasparenza delle informazioni</w:t>
            </w:r>
          </w:p>
          <w:p w14:paraId="1FE75AE4" w14:textId="77777777" w:rsidR="00EB7461" w:rsidRPr="00EE351A" w:rsidRDefault="00EB7461" w:rsidP="00592C0C">
            <w:pPr>
              <w:spacing w:line="240" w:lineRule="auto"/>
              <w:rPr>
                <w:sz w:val="22"/>
                <w:szCs w:val="20"/>
              </w:rPr>
            </w:pPr>
            <w:r w:rsidRPr="00EE351A">
              <w:rPr>
                <w:sz w:val="22"/>
                <w:szCs w:val="20"/>
              </w:rPr>
              <w:t>5. Tutela dei dati personali</w:t>
            </w:r>
          </w:p>
        </w:tc>
        <w:tc>
          <w:tcPr>
            <w:tcW w:w="3691" w:type="dxa"/>
            <w:vAlign w:val="center"/>
          </w:tcPr>
          <w:p w14:paraId="099698C6" w14:textId="77777777" w:rsidR="00EB7461" w:rsidRPr="00EE351A" w:rsidRDefault="00EB7461" w:rsidP="00592C0C">
            <w:pPr>
              <w:spacing w:line="240" w:lineRule="auto"/>
              <w:rPr>
                <w:sz w:val="22"/>
                <w:szCs w:val="20"/>
              </w:rPr>
            </w:pPr>
            <w:r w:rsidRPr="00EE351A">
              <w:rPr>
                <w:sz w:val="22"/>
                <w:szCs w:val="20"/>
              </w:rPr>
              <w:t>1. Contenimento della tariffa</w:t>
            </w:r>
          </w:p>
          <w:p w14:paraId="716FA364" w14:textId="77777777" w:rsidR="00EB7461" w:rsidRPr="00EE351A" w:rsidRDefault="00EB7461" w:rsidP="00592C0C">
            <w:pPr>
              <w:spacing w:line="240" w:lineRule="auto"/>
              <w:rPr>
                <w:sz w:val="22"/>
                <w:szCs w:val="20"/>
              </w:rPr>
            </w:pPr>
            <w:r w:rsidRPr="00EE351A">
              <w:rPr>
                <w:sz w:val="22"/>
                <w:szCs w:val="20"/>
              </w:rPr>
              <w:t>2. Competenza e gentilezza del personale al pubblico</w:t>
            </w:r>
          </w:p>
          <w:p w14:paraId="62DC2DC2" w14:textId="77777777" w:rsidR="00EB7461" w:rsidRPr="00EE351A" w:rsidRDefault="00EB7461" w:rsidP="00592C0C">
            <w:pPr>
              <w:spacing w:line="240" w:lineRule="auto"/>
              <w:rPr>
                <w:sz w:val="22"/>
                <w:szCs w:val="20"/>
              </w:rPr>
            </w:pPr>
            <w:r w:rsidRPr="00EE351A">
              <w:rPr>
                <w:sz w:val="22"/>
                <w:szCs w:val="20"/>
              </w:rPr>
              <w:t>3. Canali di comunicazioni aziendali accessibili, semplici e chiari</w:t>
            </w:r>
          </w:p>
          <w:p w14:paraId="33D46430" w14:textId="77777777" w:rsidR="00EB7461" w:rsidRPr="00EE351A" w:rsidRDefault="00EB7461" w:rsidP="00592C0C">
            <w:pPr>
              <w:spacing w:line="240" w:lineRule="auto"/>
              <w:rPr>
                <w:sz w:val="22"/>
                <w:szCs w:val="20"/>
              </w:rPr>
            </w:pPr>
            <w:r w:rsidRPr="00EE351A">
              <w:rPr>
                <w:sz w:val="22"/>
                <w:szCs w:val="20"/>
              </w:rPr>
              <w:t>4. Miglioramento continuo dei servizi</w:t>
            </w:r>
          </w:p>
        </w:tc>
        <w:tc>
          <w:tcPr>
            <w:tcW w:w="3396" w:type="dxa"/>
            <w:vAlign w:val="center"/>
          </w:tcPr>
          <w:p w14:paraId="761450D0" w14:textId="77777777" w:rsidR="00EB7461" w:rsidRPr="00EE351A" w:rsidRDefault="00EB7461" w:rsidP="00592C0C">
            <w:pPr>
              <w:spacing w:line="240" w:lineRule="auto"/>
              <w:rPr>
                <w:sz w:val="22"/>
                <w:szCs w:val="20"/>
              </w:rPr>
            </w:pPr>
          </w:p>
        </w:tc>
      </w:tr>
      <w:tr w:rsidR="00EB7461" w:rsidRPr="00D84D01" w14:paraId="13EB5EE2" w14:textId="77777777" w:rsidTr="00592C0C">
        <w:trPr>
          <w:jc w:val="center"/>
        </w:trPr>
        <w:tc>
          <w:tcPr>
            <w:tcW w:w="3114" w:type="dxa"/>
            <w:vAlign w:val="center"/>
          </w:tcPr>
          <w:p w14:paraId="6C0DF1CB" w14:textId="77777777" w:rsidR="00EB7461" w:rsidRPr="00EE351A" w:rsidRDefault="00EB7461" w:rsidP="00592C0C">
            <w:pPr>
              <w:spacing w:line="240" w:lineRule="auto"/>
              <w:rPr>
                <w:sz w:val="22"/>
                <w:szCs w:val="20"/>
              </w:rPr>
            </w:pPr>
            <w:r w:rsidRPr="00EE351A">
              <w:rPr>
                <w:sz w:val="22"/>
                <w:szCs w:val="20"/>
              </w:rPr>
              <w:t>Comunità locale</w:t>
            </w:r>
          </w:p>
        </w:tc>
        <w:tc>
          <w:tcPr>
            <w:tcW w:w="2268" w:type="dxa"/>
            <w:vAlign w:val="center"/>
          </w:tcPr>
          <w:p w14:paraId="6E01F8B9"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5CAFB456" w14:textId="77777777" w:rsidR="00EB7461" w:rsidRPr="00EE351A" w:rsidRDefault="00EB7461" w:rsidP="00592C0C">
            <w:pPr>
              <w:spacing w:line="240" w:lineRule="auto"/>
              <w:rPr>
                <w:sz w:val="22"/>
                <w:szCs w:val="20"/>
              </w:rPr>
            </w:pPr>
            <w:r w:rsidRPr="00EE351A">
              <w:rPr>
                <w:sz w:val="22"/>
                <w:szCs w:val="20"/>
              </w:rPr>
              <w:t>1. Tutela dell'ambiente e del territorio</w:t>
            </w:r>
          </w:p>
          <w:p w14:paraId="5BA62D12" w14:textId="77777777" w:rsidR="00EB7461" w:rsidRPr="00EE351A" w:rsidRDefault="00EB7461" w:rsidP="00592C0C">
            <w:pPr>
              <w:spacing w:line="240" w:lineRule="auto"/>
              <w:rPr>
                <w:sz w:val="22"/>
                <w:szCs w:val="20"/>
              </w:rPr>
            </w:pPr>
            <w:r w:rsidRPr="00EE351A">
              <w:rPr>
                <w:sz w:val="22"/>
                <w:szCs w:val="20"/>
              </w:rPr>
              <w:t>2. Prevenzione dell'inquinamento</w:t>
            </w:r>
          </w:p>
        </w:tc>
        <w:tc>
          <w:tcPr>
            <w:tcW w:w="3691" w:type="dxa"/>
            <w:vAlign w:val="center"/>
          </w:tcPr>
          <w:p w14:paraId="111BDF9D" w14:textId="77777777" w:rsidR="00EB7461" w:rsidRPr="00EE351A" w:rsidRDefault="00EB7461" w:rsidP="00592C0C">
            <w:pPr>
              <w:spacing w:line="240" w:lineRule="auto"/>
              <w:rPr>
                <w:sz w:val="22"/>
                <w:szCs w:val="20"/>
              </w:rPr>
            </w:pPr>
            <w:r w:rsidRPr="00EE351A">
              <w:rPr>
                <w:sz w:val="22"/>
                <w:szCs w:val="20"/>
              </w:rPr>
              <w:t>1. Investimenti finalizzati al miglioramento dei servizi e a generare ricchezza sul territorio</w:t>
            </w:r>
          </w:p>
          <w:p w14:paraId="755E35DE" w14:textId="77777777" w:rsidR="00EB7461" w:rsidRPr="00EE351A" w:rsidRDefault="00EB7461" w:rsidP="00592C0C">
            <w:pPr>
              <w:spacing w:line="240" w:lineRule="auto"/>
              <w:rPr>
                <w:sz w:val="22"/>
                <w:szCs w:val="20"/>
              </w:rPr>
            </w:pPr>
            <w:r w:rsidRPr="00EE351A">
              <w:rPr>
                <w:sz w:val="22"/>
                <w:szCs w:val="20"/>
              </w:rPr>
              <w:t>2. Iniziative per la comunità (es. eventi formativi, culturali, sponsorizzazioni, erogazioni liberali)</w:t>
            </w:r>
          </w:p>
        </w:tc>
        <w:tc>
          <w:tcPr>
            <w:tcW w:w="3396" w:type="dxa"/>
            <w:vAlign w:val="center"/>
          </w:tcPr>
          <w:p w14:paraId="3A456974" w14:textId="77777777" w:rsidR="00EB7461" w:rsidRPr="00EE351A" w:rsidRDefault="00EB7461" w:rsidP="00592C0C">
            <w:pPr>
              <w:spacing w:line="240" w:lineRule="auto"/>
              <w:rPr>
                <w:sz w:val="22"/>
                <w:szCs w:val="20"/>
              </w:rPr>
            </w:pPr>
          </w:p>
        </w:tc>
      </w:tr>
      <w:tr w:rsidR="00EB7461" w:rsidRPr="00D84D01" w14:paraId="6A9107C4" w14:textId="77777777" w:rsidTr="00592C0C">
        <w:trPr>
          <w:jc w:val="center"/>
        </w:trPr>
        <w:tc>
          <w:tcPr>
            <w:tcW w:w="3114" w:type="dxa"/>
            <w:vAlign w:val="center"/>
          </w:tcPr>
          <w:p w14:paraId="47A3D27A" w14:textId="77777777" w:rsidR="00EB7461" w:rsidRPr="00EE351A" w:rsidRDefault="00EB7461" w:rsidP="00592C0C">
            <w:pPr>
              <w:spacing w:line="240" w:lineRule="auto"/>
              <w:rPr>
                <w:sz w:val="22"/>
                <w:szCs w:val="20"/>
              </w:rPr>
            </w:pPr>
            <w:r w:rsidRPr="00EE351A">
              <w:rPr>
                <w:sz w:val="22"/>
                <w:szCs w:val="20"/>
              </w:rPr>
              <w:t>Fornitori e consulenti</w:t>
            </w:r>
          </w:p>
        </w:tc>
        <w:tc>
          <w:tcPr>
            <w:tcW w:w="2268" w:type="dxa"/>
            <w:vAlign w:val="center"/>
          </w:tcPr>
          <w:p w14:paraId="72CE6C02"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741272D2" w14:textId="77777777" w:rsidR="00EB7461" w:rsidRPr="00EE351A" w:rsidRDefault="00EB7461" w:rsidP="00592C0C">
            <w:pPr>
              <w:spacing w:line="240" w:lineRule="auto"/>
              <w:rPr>
                <w:sz w:val="22"/>
                <w:szCs w:val="20"/>
              </w:rPr>
            </w:pPr>
            <w:r w:rsidRPr="00EE351A">
              <w:rPr>
                <w:sz w:val="22"/>
                <w:szCs w:val="20"/>
              </w:rPr>
              <w:t xml:space="preserve">1. Rispetto degli accordi contrattuali </w:t>
            </w:r>
          </w:p>
          <w:p w14:paraId="02CBEA4A" w14:textId="77777777" w:rsidR="00EB7461" w:rsidRPr="00EE351A" w:rsidRDefault="00EB7461" w:rsidP="00592C0C">
            <w:pPr>
              <w:spacing w:line="240" w:lineRule="auto"/>
              <w:rPr>
                <w:sz w:val="22"/>
                <w:szCs w:val="20"/>
              </w:rPr>
            </w:pPr>
            <w:r w:rsidRPr="00EE351A">
              <w:rPr>
                <w:sz w:val="22"/>
                <w:szCs w:val="20"/>
              </w:rPr>
              <w:t>2. Pagamento delle fatture entro la scadenza</w:t>
            </w:r>
          </w:p>
          <w:p w14:paraId="63E7C012" w14:textId="77777777" w:rsidR="00EB7461" w:rsidRPr="00EE351A" w:rsidRDefault="00EB7461" w:rsidP="00592C0C">
            <w:pPr>
              <w:spacing w:line="240" w:lineRule="auto"/>
              <w:rPr>
                <w:sz w:val="22"/>
                <w:szCs w:val="20"/>
              </w:rPr>
            </w:pPr>
            <w:r w:rsidRPr="00EE351A">
              <w:rPr>
                <w:sz w:val="22"/>
                <w:szCs w:val="20"/>
              </w:rPr>
              <w:lastRenderedPageBreak/>
              <w:t>3. Rispetto della normativa applicabile</w:t>
            </w:r>
          </w:p>
        </w:tc>
        <w:tc>
          <w:tcPr>
            <w:tcW w:w="3691" w:type="dxa"/>
            <w:vAlign w:val="center"/>
          </w:tcPr>
          <w:p w14:paraId="4CC04C4E" w14:textId="77777777" w:rsidR="00EB7461" w:rsidRPr="00EE351A" w:rsidRDefault="00EB7461" w:rsidP="00592C0C">
            <w:pPr>
              <w:spacing w:line="240" w:lineRule="auto"/>
              <w:rPr>
                <w:sz w:val="22"/>
                <w:szCs w:val="20"/>
              </w:rPr>
            </w:pPr>
            <w:r w:rsidRPr="00EE351A">
              <w:rPr>
                <w:sz w:val="22"/>
                <w:szCs w:val="20"/>
              </w:rPr>
              <w:lastRenderedPageBreak/>
              <w:t>1. Collaborazione</w:t>
            </w:r>
          </w:p>
          <w:p w14:paraId="083C2E0C" w14:textId="77777777" w:rsidR="00EB7461" w:rsidRPr="00EE351A" w:rsidRDefault="00EB7461" w:rsidP="00592C0C">
            <w:pPr>
              <w:spacing w:line="240" w:lineRule="auto"/>
              <w:rPr>
                <w:sz w:val="22"/>
                <w:szCs w:val="20"/>
              </w:rPr>
            </w:pPr>
            <w:r w:rsidRPr="00EE351A">
              <w:rPr>
                <w:sz w:val="22"/>
                <w:szCs w:val="20"/>
              </w:rPr>
              <w:t>2. Definizione chiara dei requisiti contrattuali</w:t>
            </w:r>
          </w:p>
          <w:p w14:paraId="07BF3072" w14:textId="77777777" w:rsidR="00EB7461" w:rsidRPr="00EE351A" w:rsidRDefault="00EB7461" w:rsidP="00592C0C">
            <w:pPr>
              <w:spacing w:line="240" w:lineRule="auto"/>
              <w:rPr>
                <w:sz w:val="22"/>
                <w:szCs w:val="20"/>
              </w:rPr>
            </w:pPr>
            <w:r w:rsidRPr="00EE351A">
              <w:rPr>
                <w:sz w:val="22"/>
                <w:szCs w:val="20"/>
              </w:rPr>
              <w:lastRenderedPageBreak/>
              <w:t>3. Continuità dell'affidamento nel rispetto dei principi di rotazione e della concorrenza</w:t>
            </w:r>
          </w:p>
        </w:tc>
        <w:tc>
          <w:tcPr>
            <w:tcW w:w="3396" w:type="dxa"/>
            <w:vAlign w:val="center"/>
          </w:tcPr>
          <w:p w14:paraId="4CB22DBA" w14:textId="77777777" w:rsidR="00EB7461" w:rsidRPr="00EE351A" w:rsidRDefault="00EB7461" w:rsidP="00592C0C">
            <w:pPr>
              <w:spacing w:line="240" w:lineRule="auto"/>
              <w:rPr>
                <w:sz w:val="22"/>
                <w:szCs w:val="20"/>
              </w:rPr>
            </w:pPr>
          </w:p>
        </w:tc>
      </w:tr>
      <w:tr w:rsidR="00EB7461" w:rsidRPr="00D84D01" w14:paraId="703A3E6F" w14:textId="77777777" w:rsidTr="00592C0C">
        <w:trPr>
          <w:jc w:val="center"/>
        </w:trPr>
        <w:tc>
          <w:tcPr>
            <w:tcW w:w="3114" w:type="dxa"/>
            <w:vAlign w:val="center"/>
          </w:tcPr>
          <w:p w14:paraId="58E3EA2E" w14:textId="77777777" w:rsidR="00EB7461" w:rsidRPr="00EE351A" w:rsidRDefault="00EB7461" w:rsidP="00592C0C">
            <w:pPr>
              <w:spacing w:line="240" w:lineRule="auto"/>
              <w:rPr>
                <w:sz w:val="22"/>
                <w:szCs w:val="20"/>
              </w:rPr>
            </w:pPr>
            <w:r w:rsidRPr="00EE351A">
              <w:rPr>
                <w:sz w:val="22"/>
                <w:szCs w:val="20"/>
              </w:rPr>
              <w:t>Associazioni presenti sul territorio a vario titolo interessate dalle attività della Società</w:t>
            </w:r>
          </w:p>
        </w:tc>
        <w:tc>
          <w:tcPr>
            <w:tcW w:w="2268" w:type="dxa"/>
            <w:vAlign w:val="center"/>
          </w:tcPr>
          <w:p w14:paraId="3A9BC9D7"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059B22DD" w14:textId="77777777" w:rsidR="00EB7461" w:rsidRPr="00EE351A" w:rsidRDefault="00EB7461" w:rsidP="00592C0C">
            <w:pPr>
              <w:spacing w:line="240" w:lineRule="auto"/>
              <w:rPr>
                <w:sz w:val="22"/>
                <w:szCs w:val="20"/>
              </w:rPr>
            </w:pPr>
          </w:p>
        </w:tc>
        <w:tc>
          <w:tcPr>
            <w:tcW w:w="3691" w:type="dxa"/>
            <w:vAlign w:val="center"/>
          </w:tcPr>
          <w:p w14:paraId="2B951F06" w14:textId="77777777" w:rsidR="00EB7461" w:rsidRPr="00EE351A" w:rsidRDefault="00EB7461" w:rsidP="00592C0C">
            <w:pPr>
              <w:spacing w:line="240" w:lineRule="auto"/>
              <w:rPr>
                <w:sz w:val="22"/>
                <w:szCs w:val="20"/>
              </w:rPr>
            </w:pPr>
            <w:r w:rsidRPr="00EE351A">
              <w:rPr>
                <w:sz w:val="22"/>
                <w:szCs w:val="20"/>
              </w:rPr>
              <w:t>1. Collaborazione</w:t>
            </w:r>
          </w:p>
          <w:p w14:paraId="12D3FF80" w14:textId="77777777" w:rsidR="00EB7461" w:rsidRPr="00EE351A" w:rsidRDefault="00EB7461" w:rsidP="00592C0C">
            <w:pPr>
              <w:spacing w:line="240" w:lineRule="auto"/>
              <w:rPr>
                <w:sz w:val="22"/>
                <w:szCs w:val="20"/>
              </w:rPr>
            </w:pPr>
            <w:r w:rsidRPr="00EE351A">
              <w:rPr>
                <w:sz w:val="22"/>
                <w:szCs w:val="20"/>
              </w:rPr>
              <w:t>2. Iniziative per la comunità (es. eventi formativi, culturali, sponsorizzazioni, erogazioni liberali)</w:t>
            </w:r>
          </w:p>
          <w:p w14:paraId="69FD8E90" w14:textId="2EF10F2A" w:rsidR="00EB7461" w:rsidRPr="00EE351A" w:rsidRDefault="00EB7461" w:rsidP="00592C0C">
            <w:pPr>
              <w:spacing w:line="240" w:lineRule="auto"/>
              <w:rPr>
                <w:sz w:val="22"/>
                <w:szCs w:val="20"/>
              </w:rPr>
            </w:pPr>
            <w:r w:rsidRPr="00EE351A">
              <w:rPr>
                <w:sz w:val="22"/>
                <w:szCs w:val="20"/>
              </w:rPr>
              <w:t xml:space="preserve">3. Promozione dell'immagine </w:t>
            </w:r>
            <w:r w:rsidR="00EE351A">
              <w:rPr>
                <w:sz w:val="22"/>
                <w:szCs w:val="20"/>
              </w:rPr>
              <w:t>del Gruppo</w:t>
            </w:r>
            <w:r w:rsidRPr="00EE351A">
              <w:rPr>
                <w:sz w:val="22"/>
                <w:szCs w:val="20"/>
              </w:rPr>
              <w:t xml:space="preserve"> sul territorio</w:t>
            </w:r>
          </w:p>
          <w:p w14:paraId="3F532BF0" w14:textId="77777777" w:rsidR="00EB7461" w:rsidRPr="00EE351A" w:rsidRDefault="00EB7461" w:rsidP="00592C0C">
            <w:pPr>
              <w:spacing w:line="240" w:lineRule="auto"/>
              <w:rPr>
                <w:sz w:val="22"/>
                <w:szCs w:val="20"/>
              </w:rPr>
            </w:pPr>
            <w:r w:rsidRPr="00EE351A">
              <w:rPr>
                <w:sz w:val="22"/>
                <w:szCs w:val="20"/>
              </w:rPr>
              <w:t>4. Investimenti finalizzati al miglioramento dei servizi e a generare ricchezza sul territorio</w:t>
            </w:r>
          </w:p>
        </w:tc>
        <w:tc>
          <w:tcPr>
            <w:tcW w:w="3396" w:type="dxa"/>
            <w:vAlign w:val="center"/>
          </w:tcPr>
          <w:p w14:paraId="74C9792A" w14:textId="77777777" w:rsidR="00EB7461" w:rsidRPr="00EE351A" w:rsidRDefault="00EB7461" w:rsidP="00592C0C">
            <w:pPr>
              <w:spacing w:line="240" w:lineRule="auto"/>
              <w:rPr>
                <w:sz w:val="22"/>
                <w:szCs w:val="20"/>
              </w:rPr>
            </w:pPr>
          </w:p>
        </w:tc>
      </w:tr>
      <w:tr w:rsidR="00EB7461" w:rsidRPr="00D84D01" w14:paraId="075AE712" w14:textId="77777777" w:rsidTr="00592C0C">
        <w:trPr>
          <w:jc w:val="center"/>
        </w:trPr>
        <w:tc>
          <w:tcPr>
            <w:tcW w:w="3114" w:type="dxa"/>
            <w:vAlign w:val="center"/>
          </w:tcPr>
          <w:p w14:paraId="057A2409" w14:textId="77777777" w:rsidR="00EB7461" w:rsidRPr="00EE351A" w:rsidRDefault="00EB7461" w:rsidP="00592C0C">
            <w:pPr>
              <w:spacing w:line="240" w:lineRule="auto"/>
              <w:rPr>
                <w:sz w:val="22"/>
                <w:szCs w:val="20"/>
              </w:rPr>
            </w:pPr>
            <w:r w:rsidRPr="00EE351A">
              <w:rPr>
                <w:sz w:val="22"/>
                <w:szCs w:val="20"/>
              </w:rPr>
              <w:t>Enti di controllo (ARPAT, Guardia di Finanza, Ispettorato del Lavoro, ecc…)</w:t>
            </w:r>
          </w:p>
        </w:tc>
        <w:tc>
          <w:tcPr>
            <w:tcW w:w="2268" w:type="dxa"/>
            <w:vAlign w:val="center"/>
          </w:tcPr>
          <w:p w14:paraId="39C51C8D"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59E5184D" w14:textId="77777777" w:rsidR="00EB7461" w:rsidRPr="00EE351A" w:rsidRDefault="00EB7461" w:rsidP="00592C0C">
            <w:pPr>
              <w:spacing w:line="240" w:lineRule="auto"/>
              <w:rPr>
                <w:sz w:val="22"/>
                <w:szCs w:val="20"/>
              </w:rPr>
            </w:pPr>
            <w:r w:rsidRPr="00EE351A">
              <w:rPr>
                <w:sz w:val="22"/>
                <w:szCs w:val="20"/>
              </w:rPr>
              <w:t>1. Rispetto della normativa applicabile</w:t>
            </w:r>
          </w:p>
          <w:p w14:paraId="44E21BF6" w14:textId="77777777" w:rsidR="00EB7461" w:rsidRPr="00EE351A" w:rsidRDefault="00EB7461" w:rsidP="00592C0C">
            <w:pPr>
              <w:spacing w:line="240" w:lineRule="auto"/>
              <w:rPr>
                <w:sz w:val="22"/>
                <w:szCs w:val="20"/>
              </w:rPr>
            </w:pPr>
            <w:r w:rsidRPr="00EE351A">
              <w:rPr>
                <w:sz w:val="22"/>
                <w:szCs w:val="20"/>
              </w:rPr>
              <w:t>2. Trasparenza e veridicità delle informazioni</w:t>
            </w:r>
          </w:p>
        </w:tc>
        <w:tc>
          <w:tcPr>
            <w:tcW w:w="3691" w:type="dxa"/>
            <w:vAlign w:val="center"/>
          </w:tcPr>
          <w:p w14:paraId="31578BFA" w14:textId="77777777" w:rsidR="00EB7461" w:rsidRPr="00EE351A" w:rsidRDefault="00EB7461" w:rsidP="00592C0C">
            <w:pPr>
              <w:spacing w:line="240" w:lineRule="auto"/>
              <w:rPr>
                <w:sz w:val="22"/>
                <w:szCs w:val="20"/>
              </w:rPr>
            </w:pPr>
          </w:p>
        </w:tc>
        <w:tc>
          <w:tcPr>
            <w:tcW w:w="3396" w:type="dxa"/>
            <w:vAlign w:val="center"/>
          </w:tcPr>
          <w:p w14:paraId="06A1C6F9" w14:textId="77777777" w:rsidR="00EB7461" w:rsidRPr="00EB7461" w:rsidRDefault="00EB7461" w:rsidP="00592C0C">
            <w:pPr>
              <w:spacing w:line="240" w:lineRule="auto"/>
              <w:rPr>
                <w:sz w:val="22"/>
                <w:szCs w:val="20"/>
                <w:highlight w:val="yellow"/>
              </w:rPr>
            </w:pPr>
          </w:p>
        </w:tc>
      </w:tr>
      <w:tr w:rsidR="00EB7461" w:rsidRPr="00D84D01" w14:paraId="42FA255D" w14:textId="77777777" w:rsidTr="00592C0C">
        <w:trPr>
          <w:jc w:val="center"/>
        </w:trPr>
        <w:tc>
          <w:tcPr>
            <w:tcW w:w="3114" w:type="dxa"/>
            <w:vAlign w:val="center"/>
          </w:tcPr>
          <w:p w14:paraId="455F6240" w14:textId="77777777" w:rsidR="00EB7461" w:rsidRPr="00EE351A" w:rsidRDefault="00EB7461" w:rsidP="00592C0C">
            <w:pPr>
              <w:spacing w:line="240" w:lineRule="auto"/>
              <w:rPr>
                <w:sz w:val="22"/>
                <w:szCs w:val="20"/>
              </w:rPr>
            </w:pPr>
            <w:r w:rsidRPr="00EE351A">
              <w:rPr>
                <w:sz w:val="22"/>
                <w:szCs w:val="20"/>
              </w:rPr>
              <w:t>Enti pubblici (comuni, provincia, regione, ecc…)</w:t>
            </w:r>
          </w:p>
        </w:tc>
        <w:tc>
          <w:tcPr>
            <w:tcW w:w="2268" w:type="dxa"/>
            <w:vAlign w:val="center"/>
          </w:tcPr>
          <w:p w14:paraId="7748FA61"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45BA3FDE" w14:textId="77777777" w:rsidR="00EB7461" w:rsidRPr="00EE351A" w:rsidRDefault="00EB7461" w:rsidP="00592C0C">
            <w:pPr>
              <w:spacing w:line="240" w:lineRule="auto"/>
              <w:rPr>
                <w:sz w:val="22"/>
                <w:szCs w:val="20"/>
              </w:rPr>
            </w:pPr>
            <w:r w:rsidRPr="00EE351A">
              <w:rPr>
                <w:sz w:val="22"/>
                <w:szCs w:val="20"/>
              </w:rPr>
              <w:t>1. Rispetto della normativa applicabile</w:t>
            </w:r>
          </w:p>
          <w:p w14:paraId="1530FF64" w14:textId="77777777" w:rsidR="00EB7461" w:rsidRPr="00EE351A" w:rsidRDefault="00EB7461" w:rsidP="00592C0C">
            <w:pPr>
              <w:spacing w:line="240" w:lineRule="auto"/>
              <w:rPr>
                <w:sz w:val="22"/>
                <w:szCs w:val="20"/>
              </w:rPr>
            </w:pPr>
            <w:r w:rsidRPr="00EE351A">
              <w:rPr>
                <w:sz w:val="22"/>
                <w:szCs w:val="20"/>
              </w:rPr>
              <w:t>2. Trasparenza e veridicità delle informazioni</w:t>
            </w:r>
          </w:p>
        </w:tc>
        <w:tc>
          <w:tcPr>
            <w:tcW w:w="3691" w:type="dxa"/>
            <w:vAlign w:val="center"/>
          </w:tcPr>
          <w:p w14:paraId="13C26DB5" w14:textId="77777777" w:rsidR="00EB7461" w:rsidRPr="00EE351A" w:rsidRDefault="00EB7461" w:rsidP="00592C0C">
            <w:pPr>
              <w:spacing w:line="240" w:lineRule="auto"/>
              <w:rPr>
                <w:sz w:val="22"/>
                <w:szCs w:val="20"/>
              </w:rPr>
            </w:pPr>
          </w:p>
        </w:tc>
        <w:tc>
          <w:tcPr>
            <w:tcW w:w="3396" w:type="dxa"/>
            <w:vAlign w:val="center"/>
          </w:tcPr>
          <w:p w14:paraId="24F76C15" w14:textId="77777777" w:rsidR="00EB7461" w:rsidRPr="00EB7461" w:rsidRDefault="00EB7461" w:rsidP="00592C0C">
            <w:pPr>
              <w:spacing w:line="240" w:lineRule="auto"/>
              <w:rPr>
                <w:sz w:val="22"/>
                <w:szCs w:val="20"/>
                <w:highlight w:val="yellow"/>
              </w:rPr>
            </w:pPr>
          </w:p>
        </w:tc>
      </w:tr>
      <w:tr w:rsidR="00EB7461" w:rsidRPr="00D84D01" w14:paraId="05C0D1F0" w14:textId="77777777" w:rsidTr="00592C0C">
        <w:trPr>
          <w:jc w:val="center"/>
        </w:trPr>
        <w:tc>
          <w:tcPr>
            <w:tcW w:w="3114" w:type="dxa"/>
            <w:vAlign w:val="center"/>
          </w:tcPr>
          <w:p w14:paraId="1178426B" w14:textId="77777777" w:rsidR="00EB7461" w:rsidRPr="00EE351A" w:rsidRDefault="00EB7461" w:rsidP="00592C0C">
            <w:pPr>
              <w:spacing w:line="240" w:lineRule="auto"/>
              <w:rPr>
                <w:sz w:val="22"/>
                <w:szCs w:val="20"/>
              </w:rPr>
            </w:pPr>
            <w:r w:rsidRPr="00EE351A">
              <w:rPr>
                <w:sz w:val="22"/>
                <w:szCs w:val="20"/>
              </w:rPr>
              <w:t>Istituti finanziari</w:t>
            </w:r>
          </w:p>
        </w:tc>
        <w:tc>
          <w:tcPr>
            <w:tcW w:w="2268" w:type="dxa"/>
            <w:vAlign w:val="center"/>
          </w:tcPr>
          <w:p w14:paraId="4D98D059"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7A7DB920" w14:textId="77777777" w:rsidR="00EB7461" w:rsidRPr="00EE351A" w:rsidRDefault="00EB7461" w:rsidP="00592C0C">
            <w:pPr>
              <w:spacing w:line="240" w:lineRule="auto"/>
              <w:rPr>
                <w:sz w:val="22"/>
                <w:szCs w:val="20"/>
              </w:rPr>
            </w:pPr>
            <w:r w:rsidRPr="00EE351A">
              <w:rPr>
                <w:sz w:val="22"/>
                <w:szCs w:val="20"/>
              </w:rPr>
              <w:t>1. Solvibilità del debito</w:t>
            </w:r>
          </w:p>
        </w:tc>
        <w:tc>
          <w:tcPr>
            <w:tcW w:w="3691" w:type="dxa"/>
            <w:vAlign w:val="center"/>
          </w:tcPr>
          <w:p w14:paraId="4433F5D0" w14:textId="77777777" w:rsidR="00EB7461" w:rsidRPr="00EE351A" w:rsidRDefault="00EB7461" w:rsidP="00592C0C">
            <w:pPr>
              <w:spacing w:line="240" w:lineRule="auto"/>
              <w:rPr>
                <w:sz w:val="22"/>
                <w:szCs w:val="20"/>
              </w:rPr>
            </w:pPr>
            <w:r w:rsidRPr="00EE351A">
              <w:rPr>
                <w:sz w:val="22"/>
                <w:szCs w:val="20"/>
              </w:rPr>
              <w:t>1. Stabilità del business</w:t>
            </w:r>
          </w:p>
          <w:p w14:paraId="186A09B3" w14:textId="77777777" w:rsidR="00EB7461" w:rsidRPr="00EE351A" w:rsidRDefault="00EB7461" w:rsidP="00592C0C">
            <w:pPr>
              <w:spacing w:line="240" w:lineRule="auto"/>
              <w:rPr>
                <w:sz w:val="22"/>
                <w:szCs w:val="20"/>
              </w:rPr>
            </w:pPr>
            <w:r w:rsidRPr="00EE351A">
              <w:rPr>
                <w:sz w:val="22"/>
                <w:szCs w:val="20"/>
              </w:rPr>
              <w:t>2. Risultati economici positivi</w:t>
            </w:r>
          </w:p>
        </w:tc>
        <w:tc>
          <w:tcPr>
            <w:tcW w:w="3396" w:type="dxa"/>
            <w:vAlign w:val="center"/>
          </w:tcPr>
          <w:p w14:paraId="3702E966" w14:textId="77777777" w:rsidR="00EB7461" w:rsidRPr="00EB7461" w:rsidRDefault="00EB7461" w:rsidP="00592C0C">
            <w:pPr>
              <w:spacing w:line="240" w:lineRule="auto"/>
              <w:rPr>
                <w:sz w:val="22"/>
                <w:szCs w:val="20"/>
                <w:highlight w:val="yellow"/>
              </w:rPr>
            </w:pPr>
          </w:p>
        </w:tc>
      </w:tr>
      <w:tr w:rsidR="00EB7461" w:rsidRPr="00D84D01" w14:paraId="3893EF33" w14:textId="77777777" w:rsidTr="00592C0C">
        <w:trPr>
          <w:jc w:val="center"/>
        </w:trPr>
        <w:tc>
          <w:tcPr>
            <w:tcW w:w="3114" w:type="dxa"/>
            <w:vAlign w:val="center"/>
          </w:tcPr>
          <w:p w14:paraId="51429C88" w14:textId="77777777" w:rsidR="00EB7461" w:rsidRPr="00EE351A" w:rsidRDefault="00EB7461" w:rsidP="00592C0C">
            <w:pPr>
              <w:spacing w:line="240" w:lineRule="auto"/>
              <w:rPr>
                <w:sz w:val="22"/>
                <w:szCs w:val="20"/>
              </w:rPr>
            </w:pPr>
            <w:r w:rsidRPr="00EE351A">
              <w:rPr>
                <w:sz w:val="22"/>
                <w:szCs w:val="20"/>
              </w:rPr>
              <w:t>Società partecipate</w:t>
            </w:r>
          </w:p>
        </w:tc>
        <w:tc>
          <w:tcPr>
            <w:tcW w:w="2268" w:type="dxa"/>
            <w:vAlign w:val="center"/>
          </w:tcPr>
          <w:p w14:paraId="037BFE07" w14:textId="77777777" w:rsidR="00EB7461" w:rsidRPr="00EE351A" w:rsidRDefault="00EB7461" w:rsidP="00592C0C">
            <w:pPr>
              <w:spacing w:line="240" w:lineRule="auto"/>
              <w:rPr>
                <w:sz w:val="22"/>
                <w:szCs w:val="20"/>
              </w:rPr>
            </w:pPr>
            <w:r w:rsidRPr="00EE351A">
              <w:rPr>
                <w:sz w:val="22"/>
                <w:szCs w:val="20"/>
              </w:rPr>
              <w:t>Esterna</w:t>
            </w:r>
          </w:p>
        </w:tc>
        <w:tc>
          <w:tcPr>
            <w:tcW w:w="3544" w:type="dxa"/>
            <w:vAlign w:val="center"/>
          </w:tcPr>
          <w:p w14:paraId="46CD063E" w14:textId="77777777" w:rsidR="00EB7461" w:rsidRPr="00EE351A" w:rsidRDefault="00EB7461" w:rsidP="00592C0C">
            <w:pPr>
              <w:spacing w:line="240" w:lineRule="auto"/>
              <w:rPr>
                <w:sz w:val="22"/>
                <w:szCs w:val="20"/>
              </w:rPr>
            </w:pPr>
            <w:r w:rsidRPr="00EE351A">
              <w:rPr>
                <w:sz w:val="22"/>
                <w:szCs w:val="20"/>
              </w:rPr>
              <w:t xml:space="preserve">1. Rispetto degli accordi contrattuali </w:t>
            </w:r>
          </w:p>
          <w:p w14:paraId="42755F1A" w14:textId="77777777" w:rsidR="00EB7461" w:rsidRPr="00EE351A" w:rsidRDefault="00EB7461" w:rsidP="00592C0C">
            <w:pPr>
              <w:spacing w:line="240" w:lineRule="auto"/>
              <w:rPr>
                <w:sz w:val="22"/>
                <w:szCs w:val="20"/>
              </w:rPr>
            </w:pPr>
            <w:r w:rsidRPr="00EE351A">
              <w:rPr>
                <w:sz w:val="22"/>
                <w:szCs w:val="20"/>
              </w:rPr>
              <w:t>2. Pagamento delle fatture entro la scadenza</w:t>
            </w:r>
          </w:p>
        </w:tc>
        <w:tc>
          <w:tcPr>
            <w:tcW w:w="3691" w:type="dxa"/>
            <w:vAlign w:val="center"/>
          </w:tcPr>
          <w:p w14:paraId="2BCE3579" w14:textId="77777777" w:rsidR="00EB7461" w:rsidRPr="00EE351A" w:rsidRDefault="00EB7461" w:rsidP="00592C0C">
            <w:pPr>
              <w:spacing w:line="240" w:lineRule="auto"/>
              <w:rPr>
                <w:sz w:val="22"/>
                <w:szCs w:val="20"/>
              </w:rPr>
            </w:pPr>
            <w:r w:rsidRPr="00EE351A">
              <w:rPr>
                <w:sz w:val="22"/>
                <w:szCs w:val="20"/>
              </w:rPr>
              <w:t>1. Collaborazione</w:t>
            </w:r>
          </w:p>
          <w:p w14:paraId="20E6324F" w14:textId="77777777" w:rsidR="00EB7461" w:rsidRPr="00EE351A" w:rsidRDefault="00EB7461" w:rsidP="00592C0C">
            <w:pPr>
              <w:spacing w:line="240" w:lineRule="auto"/>
              <w:rPr>
                <w:sz w:val="22"/>
                <w:szCs w:val="20"/>
              </w:rPr>
            </w:pPr>
            <w:r w:rsidRPr="00EE351A">
              <w:rPr>
                <w:sz w:val="22"/>
                <w:szCs w:val="20"/>
              </w:rPr>
              <w:t>2. Definizione chiara dei requisiti contrattuali</w:t>
            </w:r>
          </w:p>
          <w:p w14:paraId="3A24C1E3" w14:textId="3718A0AA" w:rsidR="00EB7461" w:rsidRPr="00EE351A" w:rsidRDefault="00EB7461" w:rsidP="00592C0C">
            <w:pPr>
              <w:spacing w:line="240" w:lineRule="auto"/>
              <w:rPr>
                <w:sz w:val="22"/>
                <w:szCs w:val="20"/>
              </w:rPr>
            </w:pPr>
            <w:r w:rsidRPr="00EE351A">
              <w:rPr>
                <w:sz w:val="22"/>
                <w:szCs w:val="20"/>
              </w:rPr>
              <w:t xml:space="preserve">3. Promozione dell'immagine </w:t>
            </w:r>
            <w:r w:rsidR="00EE351A">
              <w:rPr>
                <w:sz w:val="22"/>
                <w:szCs w:val="20"/>
              </w:rPr>
              <w:t>del gruppo</w:t>
            </w:r>
            <w:r w:rsidRPr="00EE351A">
              <w:rPr>
                <w:sz w:val="22"/>
                <w:szCs w:val="20"/>
              </w:rPr>
              <w:t xml:space="preserve"> sul territorio</w:t>
            </w:r>
          </w:p>
        </w:tc>
        <w:tc>
          <w:tcPr>
            <w:tcW w:w="3396" w:type="dxa"/>
            <w:vAlign w:val="center"/>
          </w:tcPr>
          <w:p w14:paraId="2F2EFC5B" w14:textId="77777777" w:rsidR="00EB7461" w:rsidRPr="00EE351A" w:rsidRDefault="00EB7461" w:rsidP="00592C0C">
            <w:pPr>
              <w:spacing w:line="240" w:lineRule="auto"/>
              <w:rPr>
                <w:sz w:val="22"/>
                <w:szCs w:val="20"/>
              </w:rPr>
            </w:pPr>
          </w:p>
        </w:tc>
      </w:tr>
    </w:tbl>
    <w:p w14:paraId="1E4C3D96" w14:textId="77777777" w:rsidR="00EB7461" w:rsidRDefault="00EB7461" w:rsidP="00EB7461">
      <w:pPr>
        <w:sectPr w:rsidR="00EB7461" w:rsidSect="00600362">
          <w:pgSz w:w="16838" w:h="11906" w:orient="landscape"/>
          <w:pgMar w:top="1134" w:right="1417" w:bottom="1134" w:left="1134" w:header="708" w:footer="708" w:gutter="0"/>
          <w:cols w:space="708"/>
          <w:docGrid w:linePitch="360"/>
        </w:sectPr>
      </w:pPr>
    </w:p>
    <w:p w14:paraId="6DE376F6" w14:textId="77777777" w:rsidR="00EB7461" w:rsidRDefault="00EB7461" w:rsidP="00EB7461"/>
    <w:p w14:paraId="4A57A28B" w14:textId="02F1C301" w:rsidR="00EB7461" w:rsidRDefault="00EB7461" w:rsidP="00EB7461">
      <w:r>
        <w:t>Le esigenze e le aspettative degli stakeholder vengono riesaminate almeno annualmente in occasione del riesame del sistema di gestione svolto dal Responsabile della Funzione di conformità per la prevenzione della corruzione e dall’Alta Direzione.</w:t>
      </w:r>
    </w:p>
    <w:p w14:paraId="3849EA21" w14:textId="29C550A8" w:rsidR="00E0015C" w:rsidRDefault="00E0015C" w:rsidP="00EB7461">
      <w:pPr>
        <w:spacing w:line="240" w:lineRule="auto"/>
        <w:rPr>
          <w:b/>
          <w:szCs w:val="16"/>
        </w:rPr>
      </w:pPr>
    </w:p>
    <w:sectPr w:rsidR="00E0015C" w:rsidSect="00600362">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06F1" w14:textId="77777777" w:rsidR="00600362" w:rsidRDefault="00600362" w:rsidP="0087560D">
      <w:pPr>
        <w:spacing w:line="240" w:lineRule="auto"/>
      </w:pPr>
      <w:r>
        <w:separator/>
      </w:r>
    </w:p>
  </w:endnote>
  <w:endnote w:type="continuationSeparator" w:id="0">
    <w:p w14:paraId="3A34DFA6" w14:textId="77777777" w:rsidR="00600362" w:rsidRDefault="00600362" w:rsidP="0087560D">
      <w:pPr>
        <w:spacing w:line="240" w:lineRule="auto"/>
      </w:pPr>
      <w:r>
        <w:continuationSeparator/>
      </w:r>
    </w:p>
  </w:endnote>
  <w:endnote w:type="continuationNotice" w:id="1">
    <w:p w14:paraId="2BCE858A" w14:textId="77777777" w:rsidR="00600362" w:rsidRDefault="006003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32426"/>
      <w:docPartObj>
        <w:docPartGallery w:val="Page Numbers (Bottom of Page)"/>
        <w:docPartUnique/>
      </w:docPartObj>
    </w:sdtPr>
    <w:sdtEndPr/>
    <w:sdtContent>
      <w:p w14:paraId="640B32E3" w14:textId="77777777" w:rsidR="00EB7461" w:rsidRDefault="00EB7461">
        <w:pPr>
          <w:pStyle w:val="Pidipagina"/>
          <w:jc w:val="right"/>
        </w:pPr>
        <w:r>
          <w:fldChar w:fldCharType="begin"/>
        </w:r>
        <w:r>
          <w:instrText>PAGE   \* MERGEFORMAT</w:instrText>
        </w:r>
        <w:r>
          <w:fldChar w:fldCharType="separate"/>
        </w:r>
        <w:r>
          <w:rPr>
            <w:noProof/>
          </w:rPr>
          <w:t>1</w:t>
        </w:r>
        <w:r>
          <w:fldChar w:fldCharType="end"/>
        </w:r>
      </w:p>
    </w:sdtContent>
  </w:sdt>
  <w:p w14:paraId="1CAC0C81" w14:textId="77777777" w:rsidR="00EB7461" w:rsidRDefault="00EB74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89310"/>
      <w:docPartObj>
        <w:docPartGallery w:val="Page Numbers (Bottom of Page)"/>
        <w:docPartUnique/>
      </w:docPartObj>
    </w:sdtPr>
    <w:sdtEndPr/>
    <w:sdtContent>
      <w:p w14:paraId="23ACC6B5" w14:textId="77777777" w:rsidR="006D78C9" w:rsidRDefault="006D78C9">
        <w:pPr>
          <w:pStyle w:val="Pidipagina"/>
          <w:jc w:val="right"/>
        </w:pPr>
        <w:r>
          <w:fldChar w:fldCharType="begin"/>
        </w:r>
        <w:r>
          <w:instrText>PAGE   \* MERGEFORMAT</w:instrText>
        </w:r>
        <w:r>
          <w:fldChar w:fldCharType="separate"/>
        </w:r>
        <w:r w:rsidR="0087429B">
          <w:rPr>
            <w:noProof/>
          </w:rPr>
          <w:t>1</w:t>
        </w:r>
        <w:r>
          <w:fldChar w:fldCharType="end"/>
        </w:r>
      </w:p>
    </w:sdtContent>
  </w:sdt>
  <w:p w14:paraId="364FD5B0" w14:textId="77777777" w:rsidR="006D78C9" w:rsidRDefault="006D78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36B4" w14:textId="77777777" w:rsidR="00600362" w:rsidRDefault="00600362" w:rsidP="0087560D">
      <w:pPr>
        <w:spacing w:line="240" w:lineRule="auto"/>
      </w:pPr>
      <w:r>
        <w:separator/>
      </w:r>
    </w:p>
  </w:footnote>
  <w:footnote w:type="continuationSeparator" w:id="0">
    <w:p w14:paraId="1FA80C6A" w14:textId="77777777" w:rsidR="00600362" w:rsidRDefault="00600362" w:rsidP="0087560D">
      <w:pPr>
        <w:spacing w:line="240" w:lineRule="auto"/>
      </w:pPr>
      <w:r>
        <w:continuationSeparator/>
      </w:r>
    </w:p>
  </w:footnote>
  <w:footnote w:type="continuationNotice" w:id="1">
    <w:p w14:paraId="12944151" w14:textId="77777777" w:rsidR="00600362" w:rsidRDefault="006003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774" w:type="dxa"/>
      <w:jc w:val="center"/>
      <w:tblLook w:val="04A0" w:firstRow="1" w:lastRow="0" w:firstColumn="1" w:lastColumn="0" w:noHBand="0" w:noVBand="1"/>
    </w:tblPr>
    <w:tblGrid>
      <w:gridCol w:w="2966"/>
      <w:gridCol w:w="5452"/>
      <w:gridCol w:w="980"/>
      <w:gridCol w:w="1376"/>
    </w:tblGrid>
    <w:tr w:rsidR="00EB7461" w14:paraId="1893413F" w14:textId="77777777" w:rsidTr="0022419A">
      <w:trPr>
        <w:trHeight w:val="1656"/>
        <w:jc w:val="center"/>
      </w:trPr>
      <w:tc>
        <w:tcPr>
          <w:tcW w:w="2328" w:type="dxa"/>
          <w:vAlign w:val="center"/>
        </w:tcPr>
        <w:p w14:paraId="6A46341C" w14:textId="77777777" w:rsidR="00EB7461" w:rsidRPr="000A15FF" w:rsidRDefault="00EB7461" w:rsidP="000A15FF">
          <w:pPr>
            <w:pStyle w:val="Intestazione"/>
            <w:jc w:val="center"/>
            <w:rPr>
              <w:b/>
              <w:bCs/>
            </w:rPr>
          </w:pPr>
          <w:r w:rsidRPr="006271ED">
            <w:rPr>
              <w:noProof/>
            </w:rPr>
            <w:drawing>
              <wp:inline distT="0" distB="0" distL="0" distR="0" wp14:anchorId="32A1D1FF" wp14:editId="0501E07B">
                <wp:extent cx="1746250" cy="7175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717550"/>
                        </a:xfrm>
                        <a:prstGeom prst="rect">
                          <a:avLst/>
                        </a:prstGeom>
                        <a:noFill/>
                        <a:ln>
                          <a:noFill/>
                        </a:ln>
                      </pic:spPr>
                    </pic:pic>
                  </a:graphicData>
                </a:graphic>
              </wp:inline>
            </w:drawing>
          </w:r>
        </w:p>
      </w:tc>
      <w:tc>
        <w:tcPr>
          <w:tcW w:w="6031" w:type="dxa"/>
          <w:vAlign w:val="center"/>
        </w:tcPr>
        <w:p w14:paraId="2249F509" w14:textId="267DA456" w:rsidR="00EB7461" w:rsidRPr="0022419A" w:rsidRDefault="00F96E0B" w:rsidP="00B508A7">
          <w:pPr>
            <w:pStyle w:val="Intestazione"/>
            <w:jc w:val="center"/>
            <w:rPr>
              <w:b/>
              <w:bCs/>
              <w:sz w:val="32"/>
              <w:szCs w:val="28"/>
            </w:rPr>
          </w:pPr>
          <w:r>
            <w:rPr>
              <w:b/>
              <w:bCs/>
              <w:sz w:val="32"/>
              <w:szCs w:val="28"/>
            </w:rPr>
            <w:t>Analisi del contesto esterno e interno</w:t>
          </w:r>
          <w:r w:rsidR="00EB7461" w:rsidRPr="0022419A">
            <w:rPr>
              <w:b/>
              <w:bCs/>
              <w:sz w:val="32"/>
              <w:szCs w:val="28"/>
            </w:rPr>
            <w:t xml:space="preserve"> </w:t>
          </w:r>
        </w:p>
      </w:tc>
      <w:tc>
        <w:tcPr>
          <w:tcW w:w="992" w:type="dxa"/>
          <w:vAlign w:val="center"/>
        </w:tcPr>
        <w:p w14:paraId="0A4A0C1A" w14:textId="77777777" w:rsidR="00EB7461" w:rsidRDefault="00EB7461" w:rsidP="0022419A">
          <w:pPr>
            <w:pStyle w:val="Intestazione"/>
            <w:jc w:val="center"/>
          </w:pPr>
          <w:r>
            <w:t>Codice</w:t>
          </w:r>
        </w:p>
      </w:tc>
      <w:tc>
        <w:tcPr>
          <w:tcW w:w="1423" w:type="dxa"/>
          <w:vAlign w:val="center"/>
        </w:tcPr>
        <w:p w14:paraId="55BEECE7" w14:textId="4C42C24A" w:rsidR="00EB7461" w:rsidRDefault="00F96E0B" w:rsidP="0022419A">
          <w:pPr>
            <w:pStyle w:val="Intestazione"/>
            <w:jc w:val="center"/>
          </w:pPr>
          <w:r>
            <w:t>Allegato 1 al PTPCT</w:t>
          </w:r>
        </w:p>
      </w:tc>
    </w:tr>
  </w:tbl>
  <w:p w14:paraId="643AD3DE" w14:textId="77777777" w:rsidR="00EB7461" w:rsidRDefault="00EB74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774" w:type="dxa"/>
      <w:jc w:val="center"/>
      <w:tblCellMar>
        <w:left w:w="70" w:type="dxa"/>
        <w:right w:w="70" w:type="dxa"/>
      </w:tblCellMar>
      <w:tblLook w:val="04A0" w:firstRow="1" w:lastRow="0" w:firstColumn="1" w:lastColumn="0" w:noHBand="0" w:noVBand="1"/>
    </w:tblPr>
    <w:tblGrid>
      <w:gridCol w:w="2328"/>
      <w:gridCol w:w="6031"/>
      <w:gridCol w:w="992"/>
      <w:gridCol w:w="1423"/>
    </w:tblGrid>
    <w:tr w:rsidR="0022419A" w14:paraId="710E8C33" w14:textId="77777777" w:rsidTr="0080026F">
      <w:trPr>
        <w:trHeight w:val="1656"/>
        <w:jc w:val="center"/>
      </w:trPr>
      <w:tc>
        <w:tcPr>
          <w:tcW w:w="2328" w:type="dxa"/>
          <w:vAlign w:val="center"/>
        </w:tcPr>
        <w:p w14:paraId="1A4892B3" w14:textId="26A40280" w:rsidR="0022419A" w:rsidRPr="000A15FF" w:rsidRDefault="0080026F" w:rsidP="000A15FF">
          <w:pPr>
            <w:pStyle w:val="Intestazione"/>
            <w:jc w:val="center"/>
            <w:rPr>
              <w:b/>
              <w:bCs/>
            </w:rPr>
          </w:pPr>
          <w:bookmarkStart w:id="12" w:name="_Hlk97901423"/>
          <w:r>
            <w:rPr>
              <w:noProof/>
            </w:rPr>
            <w:drawing>
              <wp:inline distT="0" distB="0" distL="0" distR="0" wp14:anchorId="7D00A903" wp14:editId="1D60C0FE">
                <wp:extent cx="1211580" cy="860915"/>
                <wp:effectExtent l="0" t="0" r="7620" b="0"/>
                <wp:docPr id="4" name="Immagine 3">
                  <a:extLst xmlns:a="http://schemas.openxmlformats.org/drawingml/2006/main">
                    <a:ext uri="{FF2B5EF4-FFF2-40B4-BE49-F238E27FC236}">
                      <a16:creationId xmlns:a16="http://schemas.microsoft.com/office/drawing/2014/main" id="{14DB9025-6975-B382-BB4B-485C6874C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14DB9025-6975-B382-BB4B-485C6874C2A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580" cy="860915"/>
                        </a:xfrm>
                        <a:prstGeom prst="rect">
                          <a:avLst/>
                        </a:prstGeom>
                      </pic:spPr>
                    </pic:pic>
                  </a:graphicData>
                </a:graphic>
              </wp:inline>
            </w:drawing>
          </w:r>
        </w:p>
      </w:tc>
      <w:tc>
        <w:tcPr>
          <w:tcW w:w="6031" w:type="dxa"/>
          <w:vAlign w:val="center"/>
        </w:tcPr>
        <w:p w14:paraId="6D308CE7" w14:textId="3A3C74AF" w:rsidR="0022419A" w:rsidRPr="0022419A" w:rsidRDefault="00EB7461" w:rsidP="00E04221">
          <w:pPr>
            <w:pStyle w:val="Intestazione"/>
            <w:jc w:val="center"/>
            <w:rPr>
              <w:b/>
              <w:bCs/>
              <w:sz w:val="32"/>
              <w:szCs w:val="28"/>
            </w:rPr>
          </w:pPr>
          <w:r>
            <w:rPr>
              <w:b/>
              <w:bCs/>
              <w:sz w:val="32"/>
              <w:szCs w:val="28"/>
            </w:rPr>
            <w:t>Analisi del contesto esterno e interno</w:t>
          </w:r>
          <w:r w:rsidR="0022419A" w:rsidRPr="0022419A">
            <w:rPr>
              <w:b/>
              <w:bCs/>
              <w:sz w:val="32"/>
              <w:szCs w:val="28"/>
            </w:rPr>
            <w:t xml:space="preserve"> </w:t>
          </w:r>
        </w:p>
      </w:tc>
      <w:tc>
        <w:tcPr>
          <w:tcW w:w="992" w:type="dxa"/>
          <w:vAlign w:val="center"/>
        </w:tcPr>
        <w:p w14:paraId="7A9A7CBD" w14:textId="717784AB" w:rsidR="0022419A" w:rsidRDefault="0022419A" w:rsidP="0022419A">
          <w:pPr>
            <w:pStyle w:val="Intestazione"/>
            <w:jc w:val="center"/>
          </w:pPr>
          <w:r>
            <w:t>Codice</w:t>
          </w:r>
        </w:p>
      </w:tc>
      <w:tc>
        <w:tcPr>
          <w:tcW w:w="1423" w:type="dxa"/>
          <w:vAlign w:val="center"/>
        </w:tcPr>
        <w:p w14:paraId="13B0648F" w14:textId="389D225C" w:rsidR="0022419A" w:rsidRDefault="00562579" w:rsidP="0022419A">
          <w:pPr>
            <w:pStyle w:val="Intestazione"/>
            <w:jc w:val="center"/>
          </w:pPr>
          <w:r>
            <w:t>Allegato 1 al PTPCT</w:t>
          </w:r>
        </w:p>
      </w:tc>
    </w:tr>
    <w:bookmarkEnd w:id="12"/>
  </w:tbl>
  <w:p w14:paraId="1F800A93" w14:textId="77777777" w:rsidR="000A15FF" w:rsidRDefault="000A15F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06777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8A42ADA"/>
    <w:multiLevelType w:val="hybridMultilevel"/>
    <w:tmpl w:val="D848CD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E55D6A"/>
    <w:multiLevelType w:val="hybridMultilevel"/>
    <w:tmpl w:val="E3FE32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B29BD"/>
    <w:multiLevelType w:val="hybridMultilevel"/>
    <w:tmpl w:val="EB9445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D03D12"/>
    <w:multiLevelType w:val="hybridMultilevel"/>
    <w:tmpl w:val="48BCD7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FA4219"/>
    <w:multiLevelType w:val="hybridMultilevel"/>
    <w:tmpl w:val="F1C0E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0F455F"/>
    <w:multiLevelType w:val="hybridMultilevel"/>
    <w:tmpl w:val="06544344"/>
    <w:lvl w:ilvl="0" w:tplc="C368E2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8900D1"/>
    <w:multiLevelType w:val="hybridMultilevel"/>
    <w:tmpl w:val="F60E31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EF696A"/>
    <w:multiLevelType w:val="hybridMultilevel"/>
    <w:tmpl w:val="A6905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622FF5"/>
    <w:multiLevelType w:val="multilevel"/>
    <w:tmpl w:val="CB16C20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229C666C"/>
    <w:multiLevelType w:val="hybridMultilevel"/>
    <w:tmpl w:val="F7760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C41DC8"/>
    <w:multiLevelType w:val="hybridMultilevel"/>
    <w:tmpl w:val="70F295F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B93B77"/>
    <w:multiLevelType w:val="hybridMultilevel"/>
    <w:tmpl w:val="F9BE75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5206A2"/>
    <w:multiLevelType w:val="hybridMultilevel"/>
    <w:tmpl w:val="54A6F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C412F4"/>
    <w:multiLevelType w:val="hybridMultilevel"/>
    <w:tmpl w:val="A1AE13E6"/>
    <w:lvl w:ilvl="0" w:tplc="C368E2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DE144A"/>
    <w:multiLevelType w:val="hybridMultilevel"/>
    <w:tmpl w:val="251E79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55338E"/>
    <w:multiLevelType w:val="hybridMultilevel"/>
    <w:tmpl w:val="0DCC95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4219F8"/>
    <w:multiLevelType w:val="hybridMultilevel"/>
    <w:tmpl w:val="0DCC9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340944"/>
    <w:multiLevelType w:val="hybridMultilevel"/>
    <w:tmpl w:val="45E61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2D56EE"/>
    <w:multiLevelType w:val="hybridMultilevel"/>
    <w:tmpl w:val="659C79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62BDD"/>
    <w:multiLevelType w:val="hybridMultilevel"/>
    <w:tmpl w:val="CB146E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BC3EF6"/>
    <w:multiLevelType w:val="hybridMultilevel"/>
    <w:tmpl w:val="2B3A96FA"/>
    <w:lvl w:ilvl="0" w:tplc="C368E2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FF4AA2"/>
    <w:multiLevelType w:val="hybridMultilevel"/>
    <w:tmpl w:val="DA4E75D4"/>
    <w:lvl w:ilvl="0" w:tplc="C368E2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8C303A"/>
    <w:multiLevelType w:val="hybridMultilevel"/>
    <w:tmpl w:val="89F619CE"/>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831F89"/>
    <w:multiLevelType w:val="hybridMultilevel"/>
    <w:tmpl w:val="F71A22A6"/>
    <w:lvl w:ilvl="0" w:tplc="C368E2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7635EF"/>
    <w:multiLevelType w:val="hybridMultilevel"/>
    <w:tmpl w:val="E3FE32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34FA0"/>
    <w:multiLevelType w:val="hybridMultilevel"/>
    <w:tmpl w:val="074C5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583DF2"/>
    <w:multiLevelType w:val="hybridMultilevel"/>
    <w:tmpl w:val="728013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1A2DA8"/>
    <w:multiLevelType w:val="hybridMultilevel"/>
    <w:tmpl w:val="6EB47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885AC2"/>
    <w:multiLevelType w:val="hybridMultilevel"/>
    <w:tmpl w:val="3E22FA90"/>
    <w:lvl w:ilvl="0" w:tplc="C368E2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6A3953"/>
    <w:multiLevelType w:val="hybridMultilevel"/>
    <w:tmpl w:val="B35C5AF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3001B54"/>
    <w:multiLevelType w:val="hybridMultilevel"/>
    <w:tmpl w:val="1A80FEBA"/>
    <w:lvl w:ilvl="0" w:tplc="C368E2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5E7DA7"/>
    <w:multiLevelType w:val="hybridMultilevel"/>
    <w:tmpl w:val="31F86EB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622412D"/>
    <w:multiLevelType w:val="hybridMultilevel"/>
    <w:tmpl w:val="3BAC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AD0CB3"/>
    <w:multiLevelType w:val="hybridMultilevel"/>
    <w:tmpl w:val="AC40830A"/>
    <w:lvl w:ilvl="0" w:tplc="C368E2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41471A"/>
    <w:multiLevelType w:val="hybridMultilevel"/>
    <w:tmpl w:val="025CBC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AE058E"/>
    <w:multiLevelType w:val="hybridMultilevel"/>
    <w:tmpl w:val="8F82F2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84639693">
    <w:abstractNumId w:val="5"/>
  </w:num>
  <w:num w:numId="2" w16cid:durableId="499663744">
    <w:abstractNumId w:val="14"/>
  </w:num>
  <w:num w:numId="3" w16cid:durableId="1201938096">
    <w:abstractNumId w:val="26"/>
  </w:num>
  <w:num w:numId="4" w16cid:durableId="533200936">
    <w:abstractNumId w:val="4"/>
  </w:num>
  <w:num w:numId="5" w16cid:durableId="663817842">
    <w:abstractNumId w:val="30"/>
  </w:num>
  <w:num w:numId="6" w16cid:durableId="867791094">
    <w:abstractNumId w:val="24"/>
  </w:num>
  <w:num w:numId="7" w16cid:durableId="1277832403">
    <w:abstractNumId w:val="29"/>
  </w:num>
  <w:num w:numId="8" w16cid:durableId="232273762">
    <w:abstractNumId w:val="22"/>
  </w:num>
  <w:num w:numId="9" w16cid:durableId="1915773877">
    <w:abstractNumId w:val="21"/>
  </w:num>
  <w:num w:numId="10" w16cid:durableId="951471548">
    <w:abstractNumId w:val="31"/>
  </w:num>
  <w:num w:numId="11" w16cid:durableId="1319460127">
    <w:abstractNumId w:val="13"/>
  </w:num>
  <w:num w:numId="12" w16cid:durableId="1358114426">
    <w:abstractNumId w:val="8"/>
  </w:num>
  <w:num w:numId="13" w16cid:durableId="504440463">
    <w:abstractNumId w:val="36"/>
  </w:num>
  <w:num w:numId="14" w16cid:durableId="556860029">
    <w:abstractNumId w:val="7"/>
  </w:num>
  <w:num w:numId="15" w16cid:durableId="951017012">
    <w:abstractNumId w:val="20"/>
  </w:num>
  <w:num w:numId="16" w16cid:durableId="504826883">
    <w:abstractNumId w:val="34"/>
  </w:num>
  <w:num w:numId="17" w16cid:durableId="113521686">
    <w:abstractNumId w:val="35"/>
  </w:num>
  <w:num w:numId="18" w16cid:durableId="62794855">
    <w:abstractNumId w:val="16"/>
  </w:num>
  <w:num w:numId="19" w16cid:durableId="135683016">
    <w:abstractNumId w:val="17"/>
  </w:num>
  <w:num w:numId="20" w16cid:durableId="766199226">
    <w:abstractNumId w:val="19"/>
  </w:num>
  <w:num w:numId="21" w16cid:durableId="506754893">
    <w:abstractNumId w:val="15"/>
  </w:num>
  <w:num w:numId="22" w16cid:durableId="193003827">
    <w:abstractNumId w:val="9"/>
  </w:num>
  <w:num w:numId="23" w16cid:durableId="637145682">
    <w:abstractNumId w:val="6"/>
  </w:num>
  <w:num w:numId="24" w16cid:durableId="133068184">
    <w:abstractNumId w:val="3"/>
  </w:num>
  <w:num w:numId="25" w16cid:durableId="445078738">
    <w:abstractNumId w:val="0"/>
  </w:num>
  <w:num w:numId="26" w16cid:durableId="488137681">
    <w:abstractNumId w:val="18"/>
  </w:num>
  <w:num w:numId="27" w16cid:durableId="1654675123">
    <w:abstractNumId w:val="23"/>
  </w:num>
  <w:num w:numId="28" w16cid:durableId="1500928982">
    <w:abstractNumId w:val="28"/>
  </w:num>
  <w:num w:numId="29" w16cid:durableId="441343732">
    <w:abstractNumId w:val="33"/>
  </w:num>
  <w:num w:numId="30" w16cid:durableId="62946882">
    <w:abstractNumId w:val="2"/>
  </w:num>
  <w:num w:numId="31" w16cid:durableId="864052256">
    <w:abstractNumId w:val="32"/>
  </w:num>
  <w:num w:numId="32" w16cid:durableId="257372269">
    <w:abstractNumId w:val="1"/>
  </w:num>
  <w:num w:numId="33" w16cid:durableId="1003901471">
    <w:abstractNumId w:val="11"/>
  </w:num>
  <w:num w:numId="34" w16cid:durableId="1584601742">
    <w:abstractNumId w:val="25"/>
  </w:num>
  <w:num w:numId="35" w16cid:durableId="1616715531">
    <w:abstractNumId w:val="10"/>
  </w:num>
  <w:num w:numId="36" w16cid:durableId="905991439">
    <w:abstractNumId w:val="27"/>
  </w:num>
  <w:num w:numId="37" w16cid:durableId="10974026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82"/>
    <w:rsid w:val="00011885"/>
    <w:rsid w:val="000135F3"/>
    <w:rsid w:val="000210FF"/>
    <w:rsid w:val="00024E8D"/>
    <w:rsid w:val="00024E8E"/>
    <w:rsid w:val="00025692"/>
    <w:rsid w:val="0002579C"/>
    <w:rsid w:val="000303C1"/>
    <w:rsid w:val="00042B06"/>
    <w:rsid w:val="00042F83"/>
    <w:rsid w:val="0004444F"/>
    <w:rsid w:val="00044F1D"/>
    <w:rsid w:val="00047DA0"/>
    <w:rsid w:val="00052499"/>
    <w:rsid w:val="0005761E"/>
    <w:rsid w:val="0006168B"/>
    <w:rsid w:val="00076B9A"/>
    <w:rsid w:val="00076BD3"/>
    <w:rsid w:val="00082BFD"/>
    <w:rsid w:val="00085239"/>
    <w:rsid w:val="00091189"/>
    <w:rsid w:val="000A0C02"/>
    <w:rsid w:val="000A15FF"/>
    <w:rsid w:val="000A7382"/>
    <w:rsid w:val="000B0BEC"/>
    <w:rsid w:val="000B0C15"/>
    <w:rsid w:val="000B546D"/>
    <w:rsid w:val="000B634E"/>
    <w:rsid w:val="000C03B5"/>
    <w:rsid w:val="000C0F94"/>
    <w:rsid w:val="000D108D"/>
    <w:rsid w:val="000D5A24"/>
    <w:rsid w:val="000E5510"/>
    <w:rsid w:val="000E71A6"/>
    <w:rsid w:val="000F219D"/>
    <w:rsid w:val="000F2D96"/>
    <w:rsid w:val="000F51B8"/>
    <w:rsid w:val="000F7A00"/>
    <w:rsid w:val="00101E7B"/>
    <w:rsid w:val="0010212E"/>
    <w:rsid w:val="00102A26"/>
    <w:rsid w:val="00107D68"/>
    <w:rsid w:val="00110685"/>
    <w:rsid w:val="001112E2"/>
    <w:rsid w:val="00115976"/>
    <w:rsid w:val="00120AD3"/>
    <w:rsid w:val="001250ED"/>
    <w:rsid w:val="001258E4"/>
    <w:rsid w:val="00137071"/>
    <w:rsid w:val="001375A1"/>
    <w:rsid w:val="00141A17"/>
    <w:rsid w:val="001425B4"/>
    <w:rsid w:val="00146C70"/>
    <w:rsid w:val="0014714A"/>
    <w:rsid w:val="00150E3A"/>
    <w:rsid w:val="00155358"/>
    <w:rsid w:val="001601AE"/>
    <w:rsid w:val="00160A93"/>
    <w:rsid w:val="00162EB3"/>
    <w:rsid w:val="00171204"/>
    <w:rsid w:val="00172074"/>
    <w:rsid w:val="00174334"/>
    <w:rsid w:val="00176DFF"/>
    <w:rsid w:val="00181707"/>
    <w:rsid w:val="001824AA"/>
    <w:rsid w:val="00184DEA"/>
    <w:rsid w:val="0019074F"/>
    <w:rsid w:val="00192C46"/>
    <w:rsid w:val="00194468"/>
    <w:rsid w:val="00195296"/>
    <w:rsid w:val="00197676"/>
    <w:rsid w:val="001A064B"/>
    <w:rsid w:val="001A0860"/>
    <w:rsid w:val="001A1A4A"/>
    <w:rsid w:val="001A5080"/>
    <w:rsid w:val="001B2FD6"/>
    <w:rsid w:val="001C0E34"/>
    <w:rsid w:val="001C41C7"/>
    <w:rsid w:val="001D2DC0"/>
    <w:rsid w:val="001D46D9"/>
    <w:rsid w:val="001D5FEE"/>
    <w:rsid w:val="001D7583"/>
    <w:rsid w:val="001E030B"/>
    <w:rsid w:val="001E0756"/>
    <w:rsid w:val="001E19F2"/>
    <w:rsid w:val="001E39B6"/>
    <w:rsid w:val="001E7E8C"/>
    <w:rsid w:val="001F0AFE"/>
    <w:rsid w:val="001F1D8E"/>
    <w:rsid w:val="001F5DE3"/>
    <w:rsid w:val="001F5FBE"/>
    <w:rsid w:val="001F7472"/>
    <w:rsid w:val="002162F7"/>
    <w:rsid w:val="00220506"/>
    <w:rsid w:val="00221705"/>
    <w:rsid w:val="00221C35"/>
    <w:rsid w:val="00223060"/>
    <w:rsid w:val="0022419A"/>
    <w:rsid w:val="00226684"/>
    <w:rsid w:val="00226A1A"/>
    <w:rsid w:val="00230D9B"/>
    <w:rsid w:val="00231C13"/>
    <w:rsid w:val="00245359"/>
    <w:rsid w:val="00246B62"/>
    <w:rsid w:val="0024789B"/>
    <w:rsid w:val="002505D8"/>
    <w:rsid w:val="00256704"/>
    <w:rsid w:val="0025722E"/>
    <w:rsid w:val="002574A8"/>
    <w:rsid w:val="002607A3"/>
    <w:rsid w:val="002909FE"/>
    <w:rsid w:val="00292959"/>
    <w:rsid w:val="002935D1"/>
    <w:rsid w:val="002A04ED"/>
    <w:rsid w:val="002A2504"/>
    <w:rsid w:val="002A3ECA"/>
    <w:rsid w:val="002A7964"/>
    <w:rsid w:val="002B1B5D"/>
    <w:rsid w:val="002B394A"/>
    <w:rsid w:val="002B78D8"/>
    <w:rsid w:val="002C2507"/>
    <w:rsid w:val="002C49AA"/>
    <w:rsid w:val="002C6142"/>
    <w:rsid w:val="002D10B4"/>
    <w:rsid w:val="002D447D"/>
    <w:rsid w:val="002D68FF"/>
    <w:rsid w:val="002E48E5"/>
    <w:rsid w:val="002E4DE7"/>
    <w:rsid w:val="002E4FB7"/>
    <w:rsid w:val="002E71AA"/>
    <w:rsid w:val="002F16D8"/>
    <w:rsid w:val="002F25DC"/>
    <w:rsid w:val="002F7537"/>
    <w:rsid w:val="0030254F"/>
    <w:rsid w:val="0030568B"/>
    <w:rsid w:val="00305F41"/>
    <w:rsid w:val="00317333"/>
    <w:rsid w:val="00320736"/>
    <w:rsid w:val="0032149C"/>
    <w:rsid w:val="00335D22"/>
    <w:rsid w:val="00336BCE"/>
    <w:rsid w:val="00336F60"/>
    <w:rsid w:val="00337073"/>
    <w:rsid w:val="003370A6"/>
    <w:rsid w:val="003434FA"/>
    <w:rsid w:val="00346B95"/>
    <w:rsid w:val="00350A2A"/>
    <w:rsid w:val="0035277A"/>
    <w:rsid w:val="003545D8"/>
    <w:rsid w:val="003639DD"/>
    <w:rsid w:val="00363BA6"/>
    <w:rsid w:val="00364D33"/>
    <w:rsid w:val="00365F2B"/>
    <w:rsid w:val="00371454"/>
    <w:rsid w:val="003714E2"/>
    <w:rsid w:val="003734B7"/>
    <w:rsid w:val="00374105"/>
    <w:rsid w:val="0038535E"/>
    <w:rsid w:val="003926C0"/>
    <w:rsid w:val="00394056"/>
    <w:rsid w:val="003952C9"/>
    <w:rsid w:val="00395417"/>
    <w:rsid w:val="003A4C23"/>
    <w:rsid w:val="003A53FB"/>
    <w:rsid w:val="003B52FF"/>
    <w:rsid w:val="003B69A2"/>
    <w:rsid w:val="003C0A27"/>
    <w:rsid w:val="003C1D10"/>
    <w:rsid w:val="003C398E"/>
    <w:rsid w:val="003C680F"/>
    <w:rsid w:val="003D24A6"/>
    <w:rsid w:val="003D2810"/>
    <w:rsid w:val="003E3298"/>
    <w:rsid w:val="003E5AD7"/>
    <w:rsid w:val="003F035E"/>
    <w:rsid w:val="003F2E87"/>
    <w:rsid w:val="003F4BD8"/>
    <w:rsid w:val="003F658E"/>
    <w:rsid w:val="003F7EE6"/>
    <w:rsid w:val="0043737B"/>
    <w:rsid w:val="004401DD"/>
    <w:rsid w:val="00444518"/>
    <w:rsid w:val="00451C9B"/>
    <w:rsid w:val="00453C9B"/>
    <w:rsid w:val="00463B38"/>
    <w:rsid w:val="0047052B"/>
    <w:rsid w:val="0047243A"/>
    <w:rsid w:val="00473117"/>
    <w:rsid w:val="00473AD9"/>
    <w:rsid w:val="00486EA4"/>
    <w:rsid w:val="00492E8F"/>
    <w:rsid w:val="00494727"/>
    <w:rsid w:val="00494958"/>
    <w:rsid w:val="004A042C"/>
    <w:rsid w:val="004A380E"/>
    <w:rsid w:val="004A3EF3"/>
    <w:rsid w:val="004A7AD8"/>
    <w:rsid w:val="004B0CB8"/>
    <w:rsid w:val="004B5A2F"/>
    <w:rsid w:val="004C092B"/>
    <w:rsid w:val="004C179C"/>
    <w:rsid w:val="004C18DF"/>
    <w:rsid w:val="004C309C"/>
    <w:rsid w:val="004D6883"/>
    <w:rsid w:val="004E47F5"/>
    <w:rsid w:val="004F1D3E"/>
    <w:rsid w:val="005055AB"/>
    <w:rsid w:val="00507188"/>
    <w:rsid w:val="00507C4C"/>
    <w:rsid w:val="00511310"/>
    <w:rsid w:val="005114E8"/>
    <w:rsid w:val="00512CAA"/>
    <w:rsid w:val="005162BD"/>
    <w:rsid w:val="00517476"/>
    <w:rsid w:val="005207A1"/>
    <w:rsid w:val="00520A4C"/>
    <w:rsid w:val="00522D5E"/>
    <w:rsid w:val="005237D8"/>
    <w:rsid w:val="0052406D"/>
    <w:rsid w:val="00527A6F"/>
    <w:rsid w:val="00533BC6"/>
    <w:rsid w:val="00534C25"/>
    <w:rsid w:val="00534F9E"/>
    <w:rsid w:val="00537920"/>
    <w:rsid w:val="005464C7"/>
    <w:rsid w:val="00562579"/>
    <w:rsid w:val="00567953"/>
    <w:rsid w:val="005679E5"/>
    <w:rsid w:val="00580315"/>
    <w:rsid w:val="00584FA0"/>
    <w:rsid w:val="00590345"/>
    <w:rsid w:val="005957D2"/>
    <w:rsid w:val="005A2289"/>
    <w:rsid w:val="005A35C8"/>
    <w:rsid w:val="005B22A9"/>
    <w:rsid w:val="005B4C7C"/>
    <w:rsid w:val="005B6445"/>
    <w:rsid w:val="005B7050"/>
    <w:rsid w:val="005C0AB3"/>
    <w:rsid w:val="005C1154"/>
    <w:rsid w:val="005C238A"/>
    <w:rsid w:val="005C38E4"/>
    <w:rsid w:val="005C49EE"/>
    <w:rsid w:val="005D4A73"/>
    <w:rsid w:val="005D59D9"/>
    <w:rsid w:val="005D5D72"/>
    <w:rsid w:val="005D76A6"/>
    <w:rsid w:val="005E471B"/>
    <w:rsid w:val="005E48E0"/>
    <w:rsid w:val="005E5E44"/>
    <w:rsid w:val="005E7F7C"/>
    <w:rsid w:val="005F4DB3"/>
    <w:rsid w:val="005F6BB6"/>
    <w:rsid w:val="00600362"/>
    <w:rsid w:val="0060366B"/>
    <w:rsid w:val="0060413E"/>
    <w:rsid w:val="00606210"/>
    <w:rsid w:val="00607D41"/>
    <w:rsid w:val="00613A8D"/>
    <w:rsid w:val="006148CD"/>
    <w:rsid w:val="0062275F"/>
    <w:rsid w:val="00626E35"/>
    <w:rsid w:val="00627710"/>
    <w:rsid w:val="00633286"/>
    <w:rsid w:val="0063553E"/>
    <w:rsid w:val="0064083E"/>
    <w:rsid w:val="00640B59"/>
    <w:rsid w:val="00643ADB"/>
    <w:rsid w:val="00654077"/>
    <w:rsid w:val="00662FA5"/>
    <w:rsid w:val="006630AB"/>
    <w:rsid w:val="0066332B"/>
    <w:rsid w:val="00666400"/>
    <w:rsid w:val="00674F32"/>
    <w:rsid w:val="00680275"/>
    <w:rsid w:val="00680F08"/>
    <w:rsid w:val="0068440C"/>
    <w:rsid w:val="0068453D"/>
    <w:rsid w:val="006849F8"/>
    <w:rsid w:val="00684D65"/>
    <w:rsid w:val="006866BA"/>
    <w:rsid w:val="00691358"/>
    <w:rsid w:val="00692905"/>
    <w:rsid w:val="00693ADD"/>
    <w:rsid w:val="00695916"/>
    <w:rsid w:val="00696668"/>
    <w:rsid w:val="006969F3"/>
    <w:rsid w:val="00697D12"/>
    <w:rsid w:val="006A796A"/>
    <w:rsid w:val="006B536D"/>
    <w:rsid w:val="006B6D3F"/>
    <w:rsid w:val="006B7013"/>
    <w:rsid w:val="006B7DD6"/>
    <w:rsid w:val="006C2B24"/>
    <w:rsid w:val="006C7D36"/>
    <w:rsid w:val="006D0C52"/>
    <w:rsid w:val="006D2F09"/>
    <w:rsid w:val="006D56EC"/>
    <w:rsid w:val="006D5D04"/>
    <w:rsid w:val="006D78C9"/>
    <w:rsid w:val="006E10E2"/>
    <w:rsid w:val="006E3D2E"/>
    <w:rsid w:val="007008C8"/>
    <w:rsid w:val="007114DD"/>
    <w:rsid w:val="00711D3D"/>
    <w:rsid w:val="00723152"/>
    <w:rsid w:val="0072516A"/>
    <w:rsid w:val="00725419"/>
    <w:rsid w:val="00725DF2"/>
    <w:rsid w:val="007275D9"/>
    <w:rsid w:val="00727BB8"/>
    <w:rsid w:val="00731079"/>
    <w:rsid w:val="00732D60"/>
    <w:rsid w:val="007422B2"/>
    <w:rsid w:val="007456D4"/>
    <w:rsid w:val="00754330"/>
    <w:rsid w:val="00772997"/>
    <w:rsid w:val="007825F9"/>
    <w:rsid w:val="00790125"/>
    <w:rsid w:val="007953DE"/>
    <w:rsid w:val="007A175F"/>
    <w:rsid w:val="007A5A16"/>
    <w:rsid w:val="007A6AE7"/>
    <w:rsid w:val="007B51B1"/>
    <w:rsid w:val="007C0948"/>
    <w:rsid w:val="007C09A7"/>
    <w:rsid w:val="007C14EF"/>
    <w:rsid w:val="007C2756"/>
    <w:rsid w:val="007D0A03"/>
    <w:rsid w:val="007E6009"/>
    <w:rsid w:val="007E7105"/>
    <w:rsid w:val="007F64B7"/>
    <w:rsid w:val="0080026F"/>
    <w:rsid w:val="008036E4"/>
    <w:rsid w:val="0081347D"/>
    <w:rsid w:val="0081586A"/>
    <w:rsid w:val="00816323"/>
    <w:rsid w:val="008165C9"/>
    <w:rsid w:val="00817951"/>
    <w:rsid w:val="00820640"/>
    <w:rsid w:val="0082144F"/>
    <w:rsid w:val="00823336"/>
    <w:rsid w:val="008307B0"/>
    <w:rsid w:val="00832D5E"/>
    <w:rsid w:val="00840966"/>
    <w:rsid w:val="0084293F"/>
    <w:rsid w:val="00842E69"/>
    <w:rsid w:val="008453D6"/>
    <w:rsid w:val="00846CE9"/>
    <w:rsid w:val="00855D85"/>
    <w:rsid w:val="008563FC"/>
    <w:rsid w:val="0085732B"/>
    <w:rsid w:val="00862329"/>
    <w:rsid w:val="008634E2"/>
    <w:rsid w:val="0086379A"/>
    <w:rsid w:val="0086388B"/>
    <w:rsid w:val="00871B47"/>
    <w:rsid w:val="00873E0B"/>
    <w:rsid w:val="0087429B"/>
    <w:rsid w:val="0087560D"/>
    <w:rsid w:val="00876151"/>
    <w:rsid w:val="00882E8A"/>
    <w:rsid w:val="008864D7"/>
    <w:rsid w:val="00894DC9"/>
    <w:rsid w:val="00895E49"/>
    <w:rsid w:val="008968B8"/>
    <w:rsid w:val="008A4D4C"/>
    <w:rsid w:val="008A7019"/>
    <w:rsid w:val="008B0190"/>
    <w:rsid w:val="008B1334"/>
    <w:rsid w:val="008B1D0F"/>
    <w:rsid w:val="008B7E70"/>
    <w:rsid w:val="008C0369"/>
    <w:rsid w:val="008C57F4"/>
    <w:rsid w:val="008C5A51"/>
    <w:rsid w:val="008C69B6"/>
    <w:rsid w:val="008C748E"/>
    <w:rsid w:val="008D031D"/>
    <w:rsid w:val="008D52A7"/>
    <w:rsid w:val="008E0481"/>
    <w:rsid w:val="008E0589"/>
    <w:rsid w:val="008E20A4"/>
    <w:rsid w:val="008E3942"/>
    <w:rsid w:val="008E744F"/>
    <w:rsid w:val="008F0A3F"/>
    <w:rsid w:val="008F2D08"/>
    <w:rsid w:val="0090351C"/>
    <w:rsid w:val="009062A3"/>
    <w:rsid w:val="009111EE"/>
    <w:rsid w:val="009176A2"/>
    <w:rsid w:val="009207F8"/>
    <w:rsid w:val="00920B10"/>
    <w:rsid w:val="00921233"/>
    <w:rsid w:val="00923BC0"/>
    <w:rsid w:val="0092508F"/>
    <w:rsid w:val="00925B1E"/>
    <w:rsid w:val="0093312C"/>
    <w:rsid w:val="00934135"/>
    <w:rsid w:val="00934544"/>
    <w:rsid w:val="00940945"/>
    <w:rsid w:val="0094410D"/>
    <w:rsid w:val="0095079E"/>
    <w:rsid w:val="00954F32"/>
    <w:rsid w:val="00962E3E"/>
    <w:rsid w:val="00966BC5"/>
    <w:rsid w:val="00966F00"/>
    <w:rsid w:val="009774B7"/>
    <w:rsid w:val="0097798E"/>
    <w:rsid w:val="00981B43"/>
    <w:rsid w:val="00983B8E"/>
    <w:rsid w:val="00986617"/>
    <w:rsid w:val="00993161"/>
    <w:rsid w:val="0099485B"/>
    <w:rsid w:val="00996A40"/>
    <w:rsid w:val="009A20F7"/>
    <w:rsid w:val="009B2309"/>
    <w:rsid w:val="009B4A68"/>
    <w:rsid w:val="009C24CA"/>
    <w:rsid w:val="009C3795"/>
    <w:rsid w:val="009C5A50"/>
    <w:rsid w:val="009C5F7B"/>
    <w:rsid w:val="009C6523"/>
    <w:rsid w:val="009D0251"/>
    <w:rsid w:val="009D0627"/>
    <w:rsid w:val="009D13DB"/>
    <w:rsid w:val="009D3BFD"/>
    <w:rsid w:val="009E489A"/>
    <w:rsid w:val="009E5E9C"/>
    <w:rsid w:val="009F0F48"/>
    <w:rsid w:val="009F373F"/>
    <w:rsid w:val="009F37A6"/>
    <w:rsid w:val="009F531A"/>
    <w:rsid w:val="009F7290"/>
    <w:rsid w:val="009F73DE"/>
    <w:rsid w:val="00A0574F"/>
    <w:rsid w:val="00A058A5"/>
    <w:rsid w:val="00A13B12"/>
    <w:rsid w:val="00A14E66"/>
    <w:rsid w:val="00A36BB4"/>
    <w:rsid w:val="00A40700"/>
    <w:rsid w:val="00A4375B"/>
    <w:rsid w:val="00A43E1A"/>
    <w:rsid w:val="00A44B6E"/>
    <w:rsid w:val="00A454C8"/>
    <w:rsid w:val="00A53FEF"/>
    <w:rsid w:val="00A55B4D"/>
    <w:rsid w:val="00A5639A"/>
    <w:rsid w:val="00A6475C"/>
    <w:rsid w:val="00A7086D"/>
    <w:rsid w:val="00A72359"/>
    <w:rsid w:val="00A94627"/>
    <w:rsid w:val="00A96668"/>
    <w:rsid w:val="00A968F0"/>
    <w:rsid w:val="00AA1B25"/>
    <w:rsid w:val="00AA2CAF"/>
    <w:rsid w:val="00AA2FA2"/>
    <w:rsid w:val="00AB013B"/>
    <w:rsid w:val="00AB30F5"/>
    <w:rsid w:val="00AB531F"/>
    <w:rsid w:val="00AC560F"/>
    <w:rsid w:val="00AD16F1"/>
    <w:rsid w:val="00AD34F2"/>
    <w:rsid w:val="00AD6227"/>
    <w:rsid w:val="00AF79BD"/>
    <w:rsid w:val="00B05323"/>
    <w:rsid w:val="00B075F8"/>
    <w:rsid w:val="00B17DC4"/>
    <w:rsid w:val="00B20694"/>
    <w:rsid w:val="00B21621"/>
    <w:rsid w:val="00B239E4"/>
    <w:rsid w:val="00B23A8B"/>
    <w:rsid w:val="00B24675"/>
    <w:rsid w:val="00B25239"/>
    <w:rsid w:val="00B27C0D"/>
    <w:rsid w:val="00B30427"/>
    <w:rsid w:val="00B31335"/>
    <w:rsid w:val="00B31645"/>
    <w:rsid w:val="00B40D50"/>
    <w:rsid w:val="00B46013"/>
    <w:rsid w:val="00B469A3"/>
    <w:rsid w:val="00B507A2"/>
    <w:rsid w:val="00B508A7"/>
    <w:rsid w:val="00B55193"/>
    <w:rsid w:val="00B60B75"/>
    <w:rsid w:val="00B62AB1"/>
    <w:rsid w:val="00B62CB8"/>
    <w:rsid w:val="00B6636D"/>
    <w:rsid w:val="00B66FC4"/>
    <w:rsid w:val="00B7186D"/>
    <w:rsid w:val="00B72C2B"/>
    <w:rsid w:val="00B733FF"/>
    <w:rsid w:val="00B76A1B"/>
    <w:rsid w:val="00B9142E"/>
    <w:rsid w:val="00B972A8"/>
    <w:rsid w:val="00BA377E"/>
    <w:rsid w:val="00BA6B2F"/>
    <w:rsid w:val="00BA7479"/>
    <w:rsid w:val="00BB2B64"/>
    <w:rsid w:val="00BB4C10"/>
    <w:rsid w:val="00BC0496"/>
    <w:rsid w:val="00BC1265"/>
    <w:rsid w:val="00BC3DE4"/>
    <w:rsid w:val="00BC6818"/>
    <w:rsid w:val="00BD023B"/>
    <w:rsid w:val="00BD0782"/>
    <w:rsid w:val="00BD0D3E"/>
    <w:rsid w:val="00BD1EB2"/>
    <w:rsid w:val="00BD33E3"/>
    <w:rsid w:val="00BD4F1F"/>
    <w:rsid w:val="00BD5054"/>
    <w:rsid w:val="00BE09B2"/>
    <w:rsid w:val="00BE7104"/>
    <w:rsid w:val="00BF3285"/>
    <w:rsid w:val="00BF3B27"/>
    <w:rsid w:val="00C00FE3"/>
    <w:rsid w:val="00C03114"/>
    <w:rsid w:val="00C16A1C"/>
    <w:rsid w:val="00C20EBB"/>
    <w:rsid w:val="00C26544"/>
    <w:rsid w:val="00C26B68"/>
    <w:rsid w:val="00C27A0B"/>
    <w:rsid w:val="00C35AE8"/>
    <w:rsid w:val="00C36668"/>
    <w:rsid w:val="00C41466"/>
    <w:rsid w:val="00C43008"/>
    <w:rsid w:val="00C451AB"/>
    <w:rsid w:val="00C4615F"/>
    <w:rsid w:val="00C563AD"/>
    <w:rsid w:val="00C615BE"/>
    <w:rsid w:val="00C6329B"/>
    <w:rsid w:val="00C73F16"/>
    <w:rsid w:val="00C7663D"/>
    <w:rsid w:val="00C86622"/>
    <w:rsid w:val="00C90380"/>
    <w:rsid w:val="00C91C41"/>
    <w:rsid w:val="00C95E7F"/>
    <w:rsid w:val="00CA340B"/>
    <w:rsid w:val="00CA589F"/>
    <w:rsid w:val="00CA5CF4"/>
    <w:rsid w:val="00CA5EE2"/>
    <w:rsid w:val="00CB237F"/>
    <w:rsid w:val="00CB5AE0"/>
    <w:rsid w:val="00CB71F0"/>
    <w:rsid w:val="00CC59AE"/>
    <w:rsid w:val="00CC6D38"/>
    <w:rsid w:val="00CD242C"/>
    <w:rsid w:val="00CD3B4E"/>
    <w:rsid w:val="00CD6D30"/>
    <w:rsid w:val="00CE071E"/>
    <w:rsid w:val="00CE349C"/>
    <w:rsid w:val="00CE3B47"/>
    <w:rsid w:val="00CF6F09"/>
    <w:rsid w:val="00D00F0B"/>
    <w:rsid w:val="00D02B42"/>
    <w:rsid w:val="00D073A6"/>
    <w:rsid w:val="00D10CC0"/>
    <w:rsid w:val="00D11CEA"/>
    <w:rsid w:val="00D13013"/>
    <w:rsid w:val="00D14371"/>
    <w:rsid w:val="00D1753F"/>
    <w:rsid w:val="00D22489"/>
    <w:rsid w:val="00D27AC3"/>
    <w:rsid w:val="00D328DF"/>
    <w:rsid w:val="00D3501D"/>
    <w:rsid w:val="00D351EA"/>
    <w:rsid w:val="00D37C84"/>
    <w:rsid w:val="00D40281"/>
    <w:rsid w:val="00D40694"/>
    <w:rsid w:val="00D45AAD"/>
    <w:rsid w:val="00D47A5C"/>
    <w:rsid w:val="00D47C60"/>
    <w:rsid w:val="00D52502"/>
    <w:rsid w:val="00D52D65"/>
    <w:rsid w:val="00D574B9"/>
    <w:rsid w:val="00D60CDB"/>
    <w:rsid w:val="00D60E0F"/>
    <w:rsid w:val="00D624AC"/>
    <w:rsid w:val="00D7228D"/>
    <w:rsid w:val="00D82E15"/>
    <w:rsid w:val="00D843AF"/>
    <w:rsid w:val="00D92083"/>
    <w:rsid w:val="00D95C8A"/>
    <w:rsid w:val="00D97432"/>
    <w:rsid w:val="00DA0241"/>
    <w:rsid w:val="00DA23BC"/>
    <w:rsid w:val="00DA4640"/>
    <w:rsid w:val="00DA5166"/>
    <w:rsid w:val="00DA51F8"/>
    <w:rsid w:val="00DB7177"/>
    <w:rsid w:val="00DB7D76"/>
    <w:rsid w:val="00DC0910"/>
    <w:rsid w:val="00DE06E7"/>
    <w:rsid w:val="00DF390D"/>
    <w:rsid w:val="00E0009F"/>
    <w:rsid w:val="00E0015C"/>
    <w:rsid w:val="00E009F2"/>
    <w:rsid w:val="00E0270B"/>
    <w:rsid w:val="00E03319"/>
    <w:rsid w:val="00E03ECF"/>
    <w:rsid w:val="00E04221"/>
    <w:rsid w:val="00E2105E"/>
    <w:rsid w:val="00E212A5"/>
    <w:rsid w:val="00E231BF"/>
    <w:rsid w:val="00E25C88"/>
    <w:rsid w:val="00E3134D"/>
    <w:rsid w:val="00E3286B"/>
    <w:rsid w:val="00E409C2"/>
    <w:rsid w:val="00E45DDF"/>
    <w:rsid w:val="00E47E7D"/>
    <w:rsid w:val="00E51A40"/>
    <w:rsid w:val="00E523D2"/>
    <w:rsid w:val="00E52418"/>
    <w:rsid w:val="00E6054D"/>
    <w:rsid w:val="00E61C97"/>
    <w:rsid w:val="00E6234A"/>
    <w:rsid w:val="00E638F8"/>
    <w:rsid w:val="00E64802"/>
    <w:rsid w:val="00E705E3"/>
    <w:rsid w:val="00E83C80"/>
    <w:rsid w:val="00E85A09"/>
    <w:rsid w:val="00E85E67"/>
    <w:rsid w:val="00EA09BC"/>
    <w:rsid w:val="00EB3E46"/>
    <w:rsid w:val="00EB603B"/>
    <w:rsid w:val="00EB68B9"/>
    <w:rsid w:val="00EB7461"/>
    <w:rsid w:val="00EC0A57"/>
    <w:rsid w:val="00EC6092"/>
    <w:rsid w:val="00EE0989"/>
    <w:rsid w:val="00EE351A"/>
    <w:rsid w:val="00EF15B9"/>
    <w:rsid w:val="00EF3DA7"/>
    <w:rsid w:val="00EF4089"/>
    <w:rsid w:val="00EF7CED"/>
    <w:rsid w:val="00F01B13"/>
    <w:rsid w:val="00F01DA1"/>
    <w:rsid w:val="00F039BA"/>
    <w:rsid w:val="00F043D5"/>
    <w:rsid w:val="00F13743"/>
    <w:rsid w:val="00F30453"/>
    <w:rsid w:val="00F328F9"/>
    <w:rsid w:val="00F41EE6"/>
    <w:rsid w:val="00F44AAF"/>
    <w:rsid w:val="00F45019"/>
    <w:rsid w:val="00F544BC"/>
    <w:rsid w:val="00F56231"/>
    <w:rsid w:val="00F669E9"/>
    <w:rsid w:val="00F73CD5"/>
    <w:rsid w:val="00F8036B"/>
    <w:rsid w:val="00F80B41"/>
    <w:rsid w:val="00F95C79"/>
    <w:rsid w:val="00F96E0B"/>
    <w:rsid w:val="00F97E03"/>
    <w:rsid w:val="00FA136E"/>
    <w:rsid w:val="00FA6984"/>
    <w:rsid w:val="00FA6DF3"/>
    <w:rsid w:val="00FB1631"/>
    <w:rsid w:val="00FB1BB7"/>
    <w:rsid w:val="00FB4869"/>
    <w:rsid w:val="00FB7B68"/>
    <w:rsid w:val="00FC152A"/>
    <w:rsid w:val="00FC6EC6"/>
    <w:rsid w:val="00FC73ED"/>
    <w:rsid w:val="00FD2926"/>
    <w:rsid w:val="00FD41F6"/>
    <w:rsid w:val="00FD780E"/>
    <w:rsid w:val="00FE4910"/>
    <w:rsid w:val="00FE49AB"/>
    <w:rsid w:val="00FE76E6"/>
    <w:rsid w:val="00FF1496"/>
    <w:rsid w:val="00FF2D1A"/>
    <w:rsid w:val="00FF4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68421"/>
  <w15:chartTrackingRefBased/>
  <w15:docId w15:val="{A95C4CB1-7E9F-42CC-BFDF-0F803C71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3FEF"/>
    <w:pPr>
      <w:spacing w:after="0" w:line="360" w:lineRule="auto"/>
      <w:jc w:val="both"/>
    </w:pPr>
    <w:rPr>
      <w:rFonts w:ascii="Times New Roman" w:hAnsi="Times New Roman"/>
      <w:sz w:val="24"/>
    </w:rPr>
  </w:style>
  <w:style w:type="paragraph" w:styleId="Titolo1">
    <w:name w:val="heading 1"/>
    <w:basedOn w:val="Normale"/>
    <w:next w:val="Normale"/>
    <w:link w:val="Titolo1Carattere"/>
    <w:uiPriority w:val="9"/>
    <w:qFormat/>
    <w:rsid w:val="005D76A6"/>
    <w:pPr>
      <w:keepNext/>
      <w:keepLines/>
      <w:outlineLvl w:val="0"/>
    </w:pPr>
    <w:rPr>
      <w:rFonts w:eastAsiaTheme="majorEastAsia" w:cstheme="majorBidi"/>
      <w:b/>
      <w:sz w:val="28"/>
      <w:szCs w:val="32"/>
    </w:rPr>
  </w:style>
  <w:style w:type="paragraph" w:styleId="Titolo2">
    <w:name w:val="heading 2"/>
    <w:basedOn w:val="Normale"/>
    <w:next w:val="Normale"/>
    <w:link w:val="Titolo2Carattere"/>
    <w:uiPriority w:val="9"/>
    <w:unhideWhenUsed/>
    <w:qFormat/>
    <w:rsid w:val="005F4DB3"/>
    <w:pPr>
      <w:keepNext/>
      <w:keepLines/>
      <w:spacing w:before="40"/>
      <w:outlineLvl w:val="1"/>
    </w:pPr>
    <w:rPr>
      <w:rFonts w:eastAsiaTheme="majorEastAsia" w:cstheme="majorBidi"/>
      <w:b/>
      <w:sz w:val="26"/>
      <w:szCs w:val="26"/>
    </w:rPr>
  </w:style>
  <w:style w:type="paragraph" w:styleId="Titolo3">
    <w:name w:val="heading 3"/>
    <w:basedOn w:val="Normale"/>
    <w:next w:val="Normale"/>
    <w:link w:val="Titolo3Carattere"/>
    <w:uiPriority w:val="9"/>
    <w:unhideWhenUsed/>
    <w:qFormat/>
    <w:rsid w:val="005F4DB3"/>
    <w:pPr>
      <w:keepNext/>
      <w:keepLines/>
      <w:spacing w:before="40"/>
      <w:outlineLvl w:val="2"/>
    </w:pPr>
    <w:rPr>
      <w:rFonts w:eastAsiaTheme="majorEastAsia" w:cstheme="majorBidi"/>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46C70"/>
    <w:pPr>
      <w:ind w:left="720"/>
      <w:contextualSpacing/>
    </w:pPr>
  </w:style>
  <w:style w:type="character" w:customStyle="1" w:styleId="Titolo1Carattere">
    <w:name w:val="Titolo 1 Carattere"/>
    <w:basedOn w:val="Carpredefinitoparagrafo"/>
    <w:link w:val="Titolo1"/>
    <w:uiPriority w:val="9"/>
    <w:rsid w:val="005D76A6"/>
    <w:rPr>
      <w:rFonts w:ascii="Times New Roman" w:eastAsiaTheme="majorEastAsia" w:hAnsi="Times New Roman" w:cstheme="majorBidi"/>
      <w:b/>
      <w:sz w:val="28"/>
      <w:szCs w:val="32"/>
    </w:rPr>
  </w:style>
  <w:style w:type="table" w:styleId="Grigliatabella">
    <w:name w:val="Table Grid"/>
    <w:basedOn w:val="Tabellanormale"/>
    <w:uiPriority w:val="39"/>
    <w:rsid w:val="0089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87560D"/>
    <w:pPr>
      <w:spacing w:before="240" w:line="259" w:lineRule="auto"/>
      <w:jc w:val="left"/>
      <w:outlineLvl w:val="9"/>
    </w:pPr>
    <w:rPr>
      <w:rFonts w:asciiTheme="majorHAnsi" w:hAnsiTheme="majorHAnsi"/>
      <w:b w:val="0"/>
      <w:sz w:val="32"/>
      <w:lang w:eastAsia="it-IT"/>
    </w:rPr>
  </w:style>
  <w:style w:type="paragraph" w:styleId="Sommario1">
    <w:name w:val="toc 1"/>
    <w:basedOn w:val="Normale"/>
    <w:next w:val="Normale"/>
    <w:autoRedefine/>
    <w:uiPriority w:val="39"/>
    <w:unhideWhenUsed/>
    <w:rsid w:val="0087560D"/>
    <w:pPr>
      <w:spacing w:after="100"/>
    </w:pPr>
  </w:style>
  <w:style w:type="character" w:styleId="Collegamentoipertestuale">
    <w:name w:val="Hyperlink"/>
    <w:basedOn w:val="Carpredefinitoparagrafo"/>
    <w:uiPriority w:val="99"/>
    <w:unhideWhenUsed/>
    <w:rsid w:val="0087560D"/>
    <w:rPr>
      <w:color w:val="0563C1" w:themeColor="hyperlink"/>
      <w:u w:val="single"/>
    </w:rPr>
  </w:style>
  <w:style w:type="paragraph" w:styleId="Intestazione">
    <w:name w:val="header"/>
    <w:basedOn w:val="Normale"/>
    <w:link w:val="IntestazioneCarattere"/>
    <w:uiPriority w:val="99"/>
    <w:unhideWhenUsed/>
    <w:rsid w:val="0087560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7560D"/>
    <w:rPr>
      <w:rFonts w:ascii="Times New Roman" w:hAnsi="Times New Roman"/>
      <w:sz w:val="24"/>
    </w:rPr>
  </w:style>
  <w:style w:type="paragraph" w:styleId="Pidipagina">
    <w:name w:val="footer"/>
    <w:basedOn w:val="Normale"/>
    <w:link w:val="PidipaginaCarattere"/>
    <w:uiPriority w:val="99"/>
    <w:unhideWhenUsed/>
    <w:rsid w:val="0087560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7560D"/>
    <w:rPr>
      <w:rFonts w:ascii="Times New Roman" w:hAnsi="Times New Roman"/>
      <w:sz w:val="24"/>
    </w:rPr>
  </w:style>
  <w:style w:type="character" w:styleId="Rimandocommento">
    <w:name w:val="annotation reference"/>
    <w:basedOn w:val="Carpredefinitoparagrafo"/>
    <w:uiPriority w:val="99"/>
    <w:semiHidden/>
    <w:unhideWhenUsed/>
    <w:rsid w:val="0030568B"/>
    <w:rPr>
      <w:sz w:val="16"/>
      <w:szCs w:val="16"/>
    </w:rPr>
  </w:style>
  <w:style w:type="paragraph" w:styleId="Testocommento">
    <w:name w:val="annotation text"/>
    <w:basedOn w:val="Normale"/>
    <w:link w:val="TestocommentoCarattere"/>
    <w:uiPriority w:val="99"/>
    <w:semiHidden/>
    <w:unhideWhenUsed/>
    <w:rsid w:val="003056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0568B"/>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30568B"/>
    <w:rPr>
      <w:b/>
      <w:bCs/>
    </w:rPr>
  </w:style>
  <w:style w:type="character" w:customStyle="1" w:styleId="SoggettocommentoCarattere">
    <w:name w:val="Soggetto commento Carattere"/>
    <w:basedOn w:val="TestocommentoCarattere"/>
    <w:link w:val="Soggettocommento"/>
    <w:uiPriority w:val="99"/>
    <w:semiHidden/>
    <w:rsid w:val="0030568B"/>
    <w:rPr>
      <w:rFonts w:ascii="Times New Roman" w:hAnsi="Times New Roman"/>
      <w:b/>
      <w:bCs/>
      <w:sz w:val="20"/>
      <w:szCs w:val="20"/>
    </w:rPr>
  </w:style>
  <w:style w:type="paragraph" w:styleId="Testofumetto">
    <w:name w:val="Balloon Text"/>
    <w:basedOn w:val="Normale"/>
    <w:link w:val="TestofumettoCarattere"/>
    <w:uiPriority w:val="99"/>
    <w:semiHidden/>
    <w:unhideWhenUsed/>
    <w:rsid w:val="0030568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568B"/>
    <w:rPr>
      <w:rFonts w:ascii="Segoe UI" w:hAnsi="Segoe UI" w:cs="Segoe UI"/>
      <w:sz w:val="18"/>
      <w:szCs w:val="18"/>
    </w:rPr>
  </w:style>
  <w:style w:type="character" w:customStyle="1" w:styleId="Titolo2Carattere">
    <w:name w:val="Titolo 2 Carattere"/>
    <w:basedOn w:val="Carpredefinitoparagrafo"/>
    <w:link w:val="Titolo2"/>
    <w:uiPriority w:val="9"/>
    <w:rsid w:val="005F4DB3"/>
    <w:rPr>
      <w:rFonts w:ascii="Times New Roman" w:eastAsiaTheme="majorEastAsia" w:hAnsi="Times New Roman" w:cstheme="majorBidi"/>
      <w:b/>
      <w:sz w:val="26"/>
      <w:szCs w:val="26"/>
    </w:rPr>
  </w:style>
  <w:style w:type="character" w:customStyle="1" w:styleId="Titolo3Carattere">
    <w:name w:val="Titolo 3 Carattere"/>
    <w:basedOn w:val="Carpredefinitoparagrafo"/>
    <w:link w:val="Titolo3"/>
    <w:uiPriority w:val="9"/>
    <w:rsid w:val="005F4DB3"/>
    <w:rPr>
      <w:rFonts w:ascii="Times New Roman" w:eastAsiaTheme="majorEastAsia" w:hAnsi="Times New Roman" w:cstheme="majorBidi"/>
      <w:b/>
      <w:sz w:val="24"/>
      <w:szCs w:val="24"/>
    </w:rPr>
  </w:style>
  <w:style w:type="paragraph" w:styleId="Sommario2">
    <w:name w:val="toc 2"/>
    <w:basedOn w:val="Normale"/>
    <w:next w:val="Normale"/>
    <w:autoRedefine/>
    <w:uiPriority w:val="39"/>
    <w:unhideWhenUsed/>
    <w:rsid w:val="003370A6"/>
    <w:pPr>
      <w:spacing w:after="100"/>
      <w:ind w:left="240"/>
    </w:pPr>
  </w:style>
  <w:style w:type="paragraph" w:styleId="Sommario3">
    <w:name w:val="toc 3"/>
    <w:basedOn w:val="Normale"/>
    <w:next w:val="Normale"/>
    <w:autoRedefine/>
    <w:uiPriority w:val="39"/>
    <w:unhideWhenUsed/>
    <w:rsid w:val="003370A6"/>
    <w:pPr>
      <w:spacing w:after="100"/>
      <w:ind w:left="480"/>
    </w:pPr>
  </w:style>
  <w:style w:type="character" w:styleId="Menzionenonrisolta">
    <w:name w:val="Unresolved Mention"/>
    <w:basedOn w:val="Carpredefinitoparagrafo"/>
    <w:uiPriority w:val="99"/>
    <w:semiHidden/>
    <w:unhideWhenUsed/>
    <w:rsid w:val="00840966"/>
    <w:rPr>
      <w:color w:val="605E5C"/>
      <w:shd w:val="clear" w:color="auto" w:fill="E1DFDD"/>
    </w:rPr>
  </w:style>
  <w:style w:type="paragraph" w:customStyle="1" w:styleId="corpotesto">
    <w:name w:val="corpo testo"/>
    <w:basedOn w:val="Normale"/>
    <w:rsid w:val="00D60CDB"/>
    <w:pPr>
      <w:widowControl w:val="0"/>
      <w:tabs>
        <w:tab w:val="left" w:pos="1077"/>
      </w:tabs>
      <w:autoSpaceDE w:val="0"/>
      <w:autoSpaceDN w:val="0"/>
      <w:adjustRightInd w:val="0"/>
      <w:spacing w:line="360" w:lineRule="atLeast"/>
      <w:ind w:left="851" w:right="851"/>
    </w:pPr>
    <w:rPr>
      <w:rFonts w:ascii="Arial" w:eastAsia="Times New Roman" w:hAnsi="Arial" w:cs="Arial"/>
      <w:sz w:val="20"/>
      <w:szCs w:val="20"/>
      <w:lang w:eastAsia="it-IT"/>
    </w:rPr>
  </w:style>
  <w:style w:type="paragraph" w:styleId="Revisione">
    <w:name w:val="Revision"/>
    <w:hidden/>
    <w:uiPriority w:val="99"/>
    <w:semiHidden/>
    <w:rsid w:val="008C69B6"/>
    <w:pPr>
      <w:spacing w:after="0" w:line="240" w:lineRule="auto"/>
    </w:pPr>
    <w:rPr>
      <w:rFonts w:ascii="Times New Roman" w:hAnsi="Times New Roman"/>
      <w:sz w:val="24"/>
    </w:rPr>
  </w:style>
  <w:style w:type="paragraph" w:styleId="Puntoelenco">
    <w:name w:val="List Bullet"/>
    <w:basedOn w:val="Normale"/>
    <w:uiPriority w:val="99"/>
    <w:unhideWhenUsed/>
    <w:rsid w:val="00EB7461"/>
    <w:pPr>
      <w:numPr>
        <w:numId w:val="25"/>
      </w:numPr>
      <w:spacing w:line="240" w:lineRule="auto"/>
      <w:contextualSpacing/>
      <w:jc w:val="left"/>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630">
      <w:bodyDiv w:val="1"/>
      <w:marLeft w:val="0"/>
      <w:marRight w:val="0"/>
      <w:marTop w:val="0"/>
      <w:marBottom w:val="0"/>
      <w:divBdr>
        <w:top w:val="none" w:sz="0" w:space="0" w:color="auto"/>
        <w:left w:val="none" w:sz="0" w:space="0" w:color="auto"/>
        <w:bottom w:val="none" w:sz="0" w:space="0" w:color="auto"/>
        <w:right w:val="none" w:sz="0" w:space="0" w:color="auto"/>
      </w:divBdr>
    </w:div>
    <w:div w:id="181557506">
      <w:bodyDiv w:val="1"/>
      <w:marLeft w:val="0"/>
      <w:marRight w:val="0"/>
      <w:marTop w:val="0"/>
      <w:marBottom w:val="0"/>
      <w:divBdr>
        <w:top w:val="none" w:sz="0" w:space="0" w:color="auto"/>
        <w:left w:val="none" w:sz="0" w:space="0" w:color="auto"/>
        <w:bottom w:val="none" w:sz="0" w:space="0" w:color="auto"/>
        <w:right w:val="none" w:sz="0" w:space="0" w:color="auto"/>
      </w:divBdr>
    </w:div>
    <w:div w:id="543522130">
      <w:bodyDiv w:val="1"/>
      <w:marLeft w:val="0"/>
      <w:marRight w:val="0"/>
      <w:marTop w:val="0"/>
      <w:marBottom w:val="0"/>
      <w:divBdr>
        <w:top w:val="none" w:sz="0" w:space="0" w:color="auto"/>
        <w:left w:val="none" w:sz="0" w:space="0" w:color="auto"/>
        <w:bottom w:val="none" w:sz="0" w:space="0" w:color="auto"/>
        <w:right w:val="none" w:sz="0" w:space="0" w:color="auto"/>
      </w:divBdr>
    </w:div>
    <w:div w:id="594481139">
      <w:bodyDiv w:val="1"/>
      <w:marLeft w:val="0"/>
      <w:marRight w:val="0"/>
      <w:marTop w:val="0"/>
      <w:marBottom w:val="0"/>
      <w:divBdr>
        <w:top w:val="none" w:sz="0" w:space="0" w:color="auto"/>
        <w:left w:val="none" w:sz="0" w:space="0" w:color="auto"/>
        <w:bottom w:val="none" w:sz="0" w:space="0" w:color="auto"/>
        <w:right w:val="none" w:sz="0" w:space="0" w:color="auto"/>
      </w:divBdr>
    </w:div>
    <w:div w:id="666399758">
      <w:bodyDiv w:val="1"/>
      <w:marLeft w:val="0"/>
      <w:marRight w:val="0"/>
      <w:marTop w:val="0"/>
      <w:marBottom w:val="0"/>
      <w:divBdr>
        <w:top w:val="none" w:sz="0" w:space="0" w:color="auto"/>
        <w:left w:val="none" w:sz="0" w:space="0" w:color="auto"/>
        <w:bottom w:val="none" w:sz="0" w:space="0" w:color="auto"/>
        <w:right w:val="none" w:sz="0" w:space="0" w:color="auto"/>
      </w:divBdr>
    </w:div>
    <w:div w:id="713507284">
      <w:bodyDiv w:val="1"/>
      <w:marLeft w:val="0"/>
      <w:marRight w:val="0"/>
      <w:marTop w:val="0"/>
      <w:marBottom w:val="0"/>
      <w:divBdr>
        <w:top w:val="none" w:sz="0" w:space="0" w:color="auto"/>
        <w:left w:val="none" w:sz="0" w:space="0" w:color="auto"/>
        <w:bottom w:val="none" w:sz="0" w:space="0" w:color="auto"/>
        <w:right w:val="none" w:sz="0" w:space="0" w:color="auto"/>
      </w:divBdr>
    </w:div>
    <w:div w:id="726538645">
      <w:bodyDiv w:val="1"/>
      <w:marLeft w:val="0"/>
      <w:marRight w:val="0"/>
      <w:marTop w:val="0"/>
      <w:marBottom w:val="0"/>
      <w:divBdr>
        <w:top w:val="none" w:sz="0" w:space="0" w:color="auto"/>
        <w:left w:val="none" w:sz="0" w:space="0" w:color="auto"/>
        <w:bottom w:val="none" w:sz="0" w:space="0" w:color="auto"/>
        <w:right w:val="none" w:sz="0" w:space="0" w:color="auto"/>
      </w:divBdr>
    </w:div>
    <w:div w:id="1042091402">
      <w:bodyDiv w:val="1"/>
      <w:marLeft w:val="0"/>
      <w:marRight w:val="0"/>
      <w:marTop w:val="0"/>
      <w:marBottom w:val="0"/>
      <w:divBdr>
        <w:top w:val="none" w:sz="0" w:space="0" w:color="auto"/>
        <w:left w:val="none" w:sz="0" w:space="0" w:color="auto"/>
        <w:bottom w:val="none" w:sz="0" w:space="0" w:color="auto"/>
        <w:right w:val="none" w:sz="0" w:space="0" w:color="auto"/>
      </w:divBdr>
    </w:div>
    <w:div w:id="1180041680">
      <w:bodyDiv w:val="1"/>
      <w:marLeft w:val="0"/>
      <w:marRight w:val="0"/>
      <w:marTop w:val="0"/>
      <w:marBottom w:val="0"/>
      <w:divBdr>
        <w:top w:val="none" w:sz="0" w:space="0" w:color="auto"/>
        <w:left w:val="none" w:sz="0" w:space="0" w:color="auto"/>
        <w:bottom w:val="none" w:sz="0" w:space="0" w:color="auto"/>
        <w:right w:val="none" w:sz="0" w:space="0" w:color="auto"/>
      </w:divBdr>
    </w:div>
    <w:div w:id="1194229349">
      <w:bodyDiv w:val="1"/>
      <w:marLeft w:val="0"/>
      <w:marRight w:val="0"/>
      <w:marTop w:val="0"/>
      <w:marBottom w:val="0"/>
      <w:divBdr>
        <w:top w:val="none" w:sz="0" w:space="0" w:color="auto"/>
        <w:left w:val="none" w:sz="0" w:space="0" w:color="auto"/>
        <w:bottom w:val="none" w:sz="0" w:space="0" w:color="auto"/>
        <w:right w:val="none" w:sz="0" w:space="0" w:color="auto"/>
      </w:divBdr>
    </w:div>
    <w:div w:id="1461996068">
      <w:bodyDiv w:val="1"/>
      <w:marLeft w:val="0"/>
      <w:marRight w:val="0"/>
      <w:marTop w:val="0"/>
      <w:marBottom w:val="0"/>
      <w:divBdr>
        <w:top w:val="none" w:sz="0" w:space="0" w:color="auto"/>
        <w:left w:val="none" w:sz="0" w:space="0" w:color="auto"/>
        <w:bottom w:val="none" w:sz="0" w:space="0" w:color="auto"/>
        <w:right w:val="none" w:sz="0" w:space="0" w:color="auto"/>
      </w:divBdr>
    </w:div>
    <w:div w:id="1493989155">
      <w:bodyDiv w:val="1"/>
      <w:marLeft w:val="0"/>
      <w:marRight w:val="0"/>
      <w:marTop w:val="0"/>
      <w:marBottom w:val="0"/>
      <w:divBdr>
        <w:top w:val="none" w:sz="0" w:space="0" w:color="auto"/>
        <w:left w:val="none" w:sz="0" w:space="0" w:color="auto"/>
        <w:bottom w:val="none" w:sz="0" w:space="0" w:color="auto"/>
        <w:right w:val="none" w:sz="0" w:space="0" w:color="auto"/>
      </w:divBdr>
    </w:div>
    <w:div w:id="1621642354">
      <w:bodyDiv w:val="1"/>
      <w:marLeft w:val="0"/>
      <w:marRight w:val="0"/>
      <w:marTop w:val="0"/>
      <w:marBottom w:val="0"/>
      <w:divBdr>
        <w:top w:val="none" w:sz="0" w:space="0" w:color="auto"/>
        <w:left w:val="none" w:sz="0" w:space="0" w:color="auto"/>
        <w:bottom w:val="none" w:sz="0" w:space="0" w:color="auto"/>
        <w:right w:val="none" w:sz="0" w:space="0" w:color="auto"/>
      </w:divBdr>
    </w:div>
    <w:div w:id="1718166953">
      <w:bodyDiv w:val="1"/>
      <w:marLeft w:val="0"/>
      <w:marRight w:val="0"/>
      <w:marTop w:val="0"/>
      <w:marBottom w:val="0"/>
      <w:divBdr>
        <w:top w:val="none" w:sz="0" w:space="0" w:color="auto"/>
        <w:left w:val="none" w:sz="0" w:space="0" w:color="auto"/>
        <w:bottom w:val="none" w:sz="0" w:space="0" w:color="auto"/>
        <w:right w:val="none" w:sz="0" w:space="0" w:color="auto"/>
      </w:divBdr>
    </w:div>
    <w:div w:id="1886404977">
      <w:bodyDiv w:val="1"/>
      <w:marLeft w:val="0"/>
      <w:marRight w:val="0"/>
      <w:marTop w:val="0"/>
      <w:marBottom w:val="0"/>
      <w:divBdr>
        <w:top w:val="none" w:sz="0" w:space="0" w:color="auto"/>
        <w:left w:val="none" w:sz="0" w:space="0" w:color="auto"/>
        <w:bottom w:val="none" w:sz="0" w:space="0" w:color="auto"/>
        <w:right w:val="none" w:sz="0" w:space="0" w:color="auto"/>
      </w:divBdr>
    </w:div>
    <w:div w:id="2040665237">
      <w:bodyDiv w:val="1"/>
      <w:marLeft w:val="0"/>
      <w:marRight w:val="0"/>
      <w:marTop w:val="0"/>
      <w:marBottom w:val="0"/>
      <w:divBdr>
        <w:top w:val="none" w:sz="0" w:space="0" w:color="auto"/>
        <w:left w:val="none" w:sz="0" w:space="0" w:color="auto"/>
        <w:bottom w:val="none" w:sz="0" w:space="0" w:color="auto"/>
        <w:right w:val="none" w:sz="0" w:space="0" w:color="auto"/>
      </w:divBdr>
    </w:div>
    <w:div w:id="2064789438">
      <w:bodyDiv w:val="1"/>
      <w:marLeft w:val="0"/>
      <w:marRight w:val="0"/>
      <w:marTop w:val="0"/>
      <w:marBottom w:val="0"/>
      <w:divBdr>
        <w:top w:val="none" w:sz="0" w:space="0" w:color="auto"/>
        <w:left w:val="none" w:sz="0" w:space="0" w:color="auto"/>
        <w:bottom w:val="none" w:sz="0" w:space="0" w:color="auto"/>
        <w:right w:val="none" w:sz="0" w:space="0" w:color="auto"/>
      </w:divBdr>
    </w:div>
    <w:div w:id="2103069857">
      <w:bodyDiv w:val="1"/>
      <w:marLeft w:val="0"/>
      <w:marRight w:val="0"/>
      <w:marTop w:val="0"/>
      <w:marBottom w:val="0"/>
      <w:divBdr>
        <w:top w:val="none" w:sz="0" w:space="0" w:color="auto"/>
        <w:left w:val="none" w:sz="0" w:space="0" w:color="auto"/>
        <w:bottom w:val="none" w:sz="0" w:space="0" w:color="auto"/>
        <w:right w:val="none" w:sz="0" w:space="0" w:color="auto"/>
      </w:divBdr>
    </w:div>
    <w:div w:id="2115398862">
      <w:bodyDiv w:val="1"/>
      <w:marLeft w:val="0"/>
      <w:marRight w:val="0"/>
      <w:marTop w:val="0"/>
      <w:marBottom w:val="0"/>
      <w:divBdr>
        <w:top w:val="none" w:sz="0" w:space="0" w:color="auto"/>
        <w:left w:val="none" w:sz="0" w:space="0" w:color="auto"/>
        <w:bottom w:val="none" w:sz="0" w:space="0" w:color="auto"/>
        <w:right w:val="none" w:sz="0" w:space="0" w:color="auto"/>
      </w:divBdr>
    </w:div>
    <w:div w:id="211852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tiambiente.it/wp-content/uploads/2022/04/COMUNI-SOCI.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gione.toscana.it/documents/10180/23864036/Sintesi5Rapp_2021_WEB.pdf/9f344c4d-5c1b-7ce4-b1bf-26d770adb0a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ncaditalia.it/pubblicazioni/economie-regionali/2022/2022-0031/index.html?dotcache=refres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tiambiente.it/societa-trasparente-retiambiente/organizzazione/titolari-di-incarichi-politici-di-amministrazione-di-direzione-o-di-gove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E878E3A768EC49A3AC95D8C1593F88" ma:contentTypeVersion="18" ma:contentTypeDescription="Creare un nuovo documento." ma:contentTypeScope="" ma:versionID="b84f5c3405d1145c77c51b46f4ad103f">
  <xsd:schema xmlns:xsd="http://www.w3.org/2001/XMLSchema" xmlns:xs="http://www.w3.org/2001/XMLSchema" xmlns:p="http://schemas.microsoft.com/office/2006/metadata/properties" xmlns:ns2="ab2d8595-0763-4ca2-8acf-6d55a5105581" xmlns:ns3="405784ff-acc8-4e68-86a1-0928f498ee0e" targetNamespace="http://schemas.microsoft.com/office/2006/metadata/properties" ma:root="true" ma:fieldsID="98e2b6b65c06905d10b01d0c891618b5" ns2:_="" ns3:_="">
    <xsd:import namespace="ab2d8595-0763-4ca2-8acf-6d55a5105581"/>
    <xsd:import namespace="405784ff-acc8-4e68-86a1-0928f498e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d8595-0763-4ca2-8acf-6d55a5105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10b3-7c55-48a2-93c2-069fab799d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784ff-acc8-4e68-86a1-0928f498ee0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45a462-3b49-465c-b0cc-4b43ba2a89ee}" ma:internalName="TaxCatchAll" ma:showField="CatchAllData" ma:web="405784ff-acc8-4e68-86a1-0928f498e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FFB4E-FAAF-4486-A0BF-B16867D3A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d8595-0763-4ca2-8acf-6d55a5105581"/>
    <ds:schemaRef ds:uri="405784ff-acc8-4e68-86a1-0928f498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62ED1-3371-4EB9-A6D4-B1864DDDEE88}">
  <ds:schemaRefs>
    <ds:schemaRef ds:uri="http://schemas.openxmlformats.org/officeDocument/2006/bibliography"/>
  </ds:schemaRefs>
</ds:datastoreItem>
</file>

<file path=customXml/itemProps3.xml><?xml version="1.0" encoding="utf-8"?>
<ds:datastoreItem xmlns:ds="http://schemas.openxmlformats.org/officeDocument/2006/customXml" ds:itemID="{353FD897-25AA-4EFE-840C-32A9B4A74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22</Pages>
  <Words>5672</Words>
  <Characters>32332</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Sandro Gallo</cp:lastModifiedBy>
  <cp:revision>357</cp:revision>
  <cp:lastPrinted>2022-04-04T07:23:00Z</cp:lastPrinted>
  <dcterms:created xsi:type="dcterms:W3CDTF">2017-02-15T10:06:00Z</dcterms:created>
  <dcterms:modified xsi:type="dcterms:W3CDTF">2024-02-01T09:00:00Z</dcterms:modified>
</cp:coreProperties>
</file>